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5A5E2" w14:textId="72CA6EC1" w:rsidR="00A60C6C" w:rsidRDefault="00A60C6C" w:rsidP="003210BD">
      <w:pPr>
        <w:pStyle w:val="Instytucja"/>
        <w:ind w:right="565"/>
        <w:jc w:val="left"/>
        <w:rPr>
          <w:rFonts w:ascii="Garamond" w:hAnsi="Garamond"/>
          <w:b/>
          <w:bCs/>
          <w:i w:val="0"/>
          <w:color w:val="000000"/>
          <w:sz w:val="28"/>
          <w:szCs w:val="28"/>
        </w:rPr>
      </w:pPr>
      <w:bookmarkStart w:id="0" w:name="_Hlk224305363"/>
    </w:p>
    <w:p w14:paraId="60598ECA" w14:textId="391977E7" w:rsidR="00546F78" w:rsidRPr="00546F78" w:rsidRDefault="00F62F5B" w:rsidP="00F62F5B">
      <w:pPr>
        <w:pStyle w:val="Instytucja"/>
        <w:ind w:right="565"/>
        <w:rPr>
          <w:rFonts w:ascii="Garamond" w:hAnsi="Garamond"/>
          <w:b/>
          <w:bCs/>
          <w:i w:val="0"/>
          <w:iCs/>
          <w:color w:val="000000"/>
          <w:sz w:val="28"/>
          <w:szCs w:val="28"/>
          <w:lang w:val="en-US"/>
        </w:rPr>
      </w:pPr>
      <w:bookmarkStart w:id="1" w:name="_heading=h.gjdgxs" w:colFirst="0" w:colLast="0"/>
      <w:bookmarkEnd w:id="1"/>
      <w:r w:rsidRPr="00546F78">
        <w:rPr>
          <w:rFonts w:ascii="Garamond" w:hAnsi="Garamond"/>
          <w:b/>
          <w:bCs/>
          <w:i w:val="0"/>
          <w:iCs/>
          <w:color w:val="000000"/>
          <w:sz w:val="28"/>
          <w:szCs w:val="28"/>
        </w:rPr>
        <w:t>TITLE (WRITTEN IN GARAMOND BOLD (14 PT) AND CAPITAL LETTERS IN EVERY WORD, EXCEPT COMMENDATIONS)</w:t>
      </w:r>
    </w:p>
    <w:p w14:paraId="18C4C342" w14:textId="6E73561C" w:rsidR="00B02CE3" w:rsidRPr="00F62F5B" w:rsidRDefault="00F62F5B" w:rsidP="00F62F5B">
      <w:pPr>
        <w:pStyle w:val="Instytucja"/>
        <w:ind w:right="565"/>
        <w:rPr>
          <w:rFonts w:ascii="Garamond" w:hAnsi="Garamond"/>
          <w:b/>
          <w:bCs/>
          <w:i w:val="0"/>
          <w:iCs/>
          <w:color w:val="000000"/>
          <w:sz w:val="28"/>
          <w:szCs w:val="28"/>
          <w:lang w:val="en-US"/>
        </w:rPr>
      </w:pPr>
      <w:r w:rsidRPr="00546F78">
        <w:rPr>
          <w:rFonts w:ascii="Garamond" w:hAnsi="Garamond"/>
          <w:b/>
          <w:bCs/>
          <w:i w:val="0"/>
          <w:iCs/>
          <w:color w:val="000000"/>
          <w:sz w:val="28"/>
          <w:szCs w:val="28"/>
        </w:rPr>
        <w:t>(TITLES USE EFFECTIVE SENTENCES WITH A MAXIMUM OF 15 WORDS)</w:t>
      </w:r>
    </w:p>
    <w:p w14:paraId="4F83798B" w14:textId="77777777" w:rsidR="003210BD" w:rsidRPr="00297C7D" w:rsidRDefault="003210BD" w:rsidP="00F62F5B">
      <w:pPr>
        <w:pStyle w:val="Instytucja"/>
        <w:spacing w:after="0"/>
        <w:ind w:right="567"/>
        <w:jc w:val="left"/>
        <w:rPr>
          <w:rFonts w:ascii="Garamond" w:hAnsi="Garamond"/>
          <w:b/>
          <w:i w:val="0"/>
          <w:sz w:val="24"/>
          <w:szCs w:val="24"/>
          <w:lang w:val="en-US"/>
        </w:rPr>
      </w:pPr>
      <w:r w:rsidRPr="00297C7D">
        <w:rPr>
          <w:rFonts w:ascii="Garamond" w:hAnsi="Garamond"/>
          <w:b/>
          <w:i w:val="0"/>
          <w:sz w:val="24"/>
          <w:szCs w:val="24"/>
        </w:rPr>
        <w:t>Author name 1*, Author name 2 (Maximum of five authors)</w:t>
      </w:r>
    </w:p>
    <w:p w14:paraId="39D321C5" w14:textId="2112EA01" w:rsidR="000A42C6" w:rsidRPr="0002604E" w:rsidRDefault="000A42C6" w:rsidP="0002604E">
      <w:pPr>
        <w:pStyle w:val="Instytucja"/>
        <w:spacing w:after="0"/>
        <w:ind w:right="567"/>
        <w:jc w:val="left"/>
        <w:rPr>
          <w:rFonts w:ascii="Garamond" w:hAnsi="Garamond"/>
          <w:i w:val="0"/>
          <w:sz w:val="24"/>
          <w:szCs w:val="24"/>
          <w:lang w:val="en-US"/>
        </w:rPr>
      </w:pPr>
      <w:r w:rsidRPr="0002604E">
        <w:rPr>
          <w:rFonts w:ascii="Garamond" w:hAnsi="Garamond"/>
          <w:i w:val="0"/>
          <w:sz w:val="24"/>
          <w:szCs w:val="24"/>
          <w:vertAlign w:val="superscript"/>
        </w:rPr>
        <w:t>1</w:t>
      </w:r>
      <w:r w:rsidRPr="0002604E">
        <w:rPr>
          <w:rFonts w:ascii="Garamond" w:hAnsi="Garamond"/>
          <w:i w:val="0"/>
          <w:sz w:val="24"/>
          <w:szCs w:val="24"/>
        </w:rPr>
        <w:t>Affiliates</w:t>
      </w:r>
      <w:r w:rsidR="0002604E">
        <w:rPr>
          <w:rFonts w:ascii="Garamond" w:hAnsi="Garamond"/>
          <w:i w:val="0"/>
          <w:sz w:val="24"/>
          <w:szCs w:val="24"/>
        </w:rPr>
        <w:t xml:space="preserve">....................., </w:t>
      </w:r>
      <w:r w:rsidRPr="0002604E">
        <w:rPr>
          <w:rFonts w:ascii="Garamond" w:hAnsi="Garamond"/>
          <w:i w:val="0"/>
          <w:sz w:val="24"/>
          <w:szCs w:val="24"/>
        </w:rPr>
        <w:t>E-mail</w:t>
      </w:r>
      <w:r w:rsidR="0002604E">
        <w:rPr>
          <w:rFonts w:ascii="Garamond" w:hAnsi="Garamond"/>
          <w:i w:val="0"/>
          <w:sz w:val="24"/>
          <w:szCs w:val="24"/>
        </w:rPr>
        <w:t xml:space="preserve">: </w:t>
      </w:r>
    </w:p>
    <w:p w14:paraId="298EC104" w14:textId="49AA59C8" w:rsidR="000A42C6" w:rsidRPr="0002604E" w:rsidRDefault="000A42C6" w:rsidP="0002604E">
      <w:pPr>
        <w:pStyle w:val="Instytucja"/>
        <w:spacing w:after="0"/>
        <w:ind w:right="567"/>
        <w:jc w:val="left"/>
        <w:rPr>
          <w:rFonts w:ascii="Garamond" w:hAnsi="Garamond"/>
          <w:i w:val="0"/>
          <w:sz w:val="24"/>
          <w:szCs w:val="24"/>
          <w:lang w:val="en-US"/>
        </w:rPr>
      </w:pPr>
      <w:r w:rsidRPr="0002604E">
        <w:rPr>
          <w:rFonts w:ascii="Garamond" w:hAnsi="Garamond"/>
          <w:i w:val="0"/>
          <w:sz w:val="24"/>
          <w:szCs w:val="24"/>
          <w:vertAlign w:val="superscript"/>
        </w:rPr>
        <w:t>2</w:t>
      </w:r>
      <w:r w:rsidR="0002604E" w:rsidRPr="0002604E">
        <w:rPr>
          <w:rFonts w:ascii="Garamond" w:hAnsi="Garamond"/>
          <w:i w:val="0"/>
          <w:sz w:val="24"/>
          <w:szCs w:val="24"/>
        </w:rPr>
        <w:t xml:space="preserve"> </w:t>
      </w:r>
      <w:r w:rsidR="0002604E" w:rsidRPr="0002604E">
        <w:rPr>
          <w:rFonts w:ascii="Garamond" w:hAnsi="Garamond"/>
          <w:i w:val="0"/>
          <w:sz w:val="24"/>
          <w:szCs w:val="24"/>
        </w:rPr>
        <w:t>Affiliates</w:t>
      </w:r>
      <w:r w:rsidR="0002604E">
        <w:rPr>
          <w:rFonts w:ascii="Garamond" w:hAnsi="Garamond"/>
          <w:i w:val="0"/>
          <w:sz w:val="24"/>
          <w:szCs w:val="24"/>
        </w:rPr>
        <w:t xml:space="preserve">....................., </w:t>
      </w:r>
      <w:r w:rsidR="0002604E" w:rsidRPr="0002604E">
        <w:rPr>
          <w:rFonts w:ascii="Garamond" w:hAnsi="Garamond"/>
          <w:i w:val="0"/>
          <w:sz w:val="24"/>
          <w:szCs w:val="24"/>
        </w:rPr>
        <w:t>E-mail</w:t>
      </w:r>
      <w:r w:rsidR="0002604E">
        <w:rPr>
          <w:rFonts w:ascii="Garamond" w:hAnsi="Garamond"/>
          <w:i w:val="0"/>
          <w:sz w:val="24"/>
          <w:szCs w:val="24"/>
        </w:rPr>
        <w:t xml:space="preserve">: </w:t>
      </w:r>
    </w:p>
    <w:p w14:paraId="648F8CFE" w14:textId="77777777" w:rsidR="003210BD" w:rsidRPr="00297C7D" w:rsidRDefault="003210BD" w:rsidP="00F62F5B">
      <w:pPr>
        <w:pStyle w:val="Instytucja"/>
        <w:spacing w:after="0"/>
        <w:ind w:right="567"/>
        <w:jc w:val="left"/>
        <w:rPr>
          <w:rFonts w:ascii="Garamond" w:hAnsi="Garamond"/>
          <w:b/>
          <w:i w:val="0"/>
          <w:lang w:val="en-US"/>
        </w:rPr>
      </w:pPr>
    </w:p>
    <w:p w14:paraId="7220E49B" w14:textId="15645B7E" w:rsidR="00BB3AEB" w:rsidRPr="00297C7D" w:rsidRDefault="000A42C6" w:rsidP="00F62F5B">
      <w:pPr>
        <w:pStyle w:val="Instytucja"/>
        <w:spacing w:after="0"/>
        <w:ind w:right="567"/>
        <w:jc w:val="left"/>
        <w:rPr>
          <w:rFonts w:ascii="Garamond" w:hAnsi="Garamond"/>
          <w:i w:val="0"/>
          <w:sz w:val="24"/>
          <w:szCs w:val="24"/>
          <w:lang w:val="en-US"/>
        </w:rPr>
      </w:pPr>
      <w:r w:rsidRPr="00297C7D">
        <w:rPr>
          <w:rFonts w:ascii="Garamond" w:hAnsi="Garamond"/>
          <w:i w:val="0"/>
          <w:sz w:val="24"/>
          <w:szCs w:val="24"/>
          <w:vertAlign w:val="superscript"/>
        </w:rPr>
        <w:t>*</w:t>
      </w:r>
      <w:r w:rsidR="00BB3AEB" w:rsidRPr="00297C7D">
        <w:rPr>
          <w:rFonts w:ascii="Garamond" w:hAnsi="Garamond"/>
          <w:i w:val="0"/>
          <w:sz w:val="24"/>
          <w:szCs w:val="24"/>
        </w:rPr>
        <w:t xml:space="preserve">Correspondence </w:t>
      </w:r>
      <w:r w:rsidR="0002604E">
        <w:rPr>
          <w:rFonts w:ascii="Garamond" w:hAnsi="Garamond"/>
          <w:i w:val="0"/>
          <w:sz w:val="24"/>
          <w:szCs w:val="24"/>
        </w:rPr>
        <w:t>author</w:t>
      </w:r>
      <w:r w:rsidR="00BB3AEB" w:rsidRPr="00297C7D">
        <w:rPr>
          <w:rFonts w:ascii="Garamond" w:hAnsi="Garamond"/>
          <w:i w:val="0"/>
          <w:sz w:val="24"/>
          <w:szCs w:val="24"/>
        </w:rPr>
        <w:t xml:space="preserve"> (if applicable)</w:t>
      </w:r>
    </w:p>
    <w:p w14:paraId="72EF0392" w14:textId="77777777" w:rsidR="004D1301" w:rsidRPr="00297C7D" w:rsidRDefault="004D1301" w:rsidP="00E65BE7">
      <w:pPr>
        <w:pStyle w:val="Streszczenie"/>
        <w:tabs>
          <w:tab w:val="left" w:pos="5796"/>
        </w:tabs>
        <w:ind w:left="0" w:right="565"/>
        <w:rPr>
          <w:rFonts w:ascii="Garamond" w:hAnsi="Garamond"/>
          <w:lang w:val="en-US"/>
        </w:rPr>
      </w:pPr>
    </w:p>
    <w:tbl>
      <w:tblPr>
        <w:tblW w:w="86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0"/>
        <w:gridCol w:w="6270"/>
      </w:tblGrid>
      <w:tr w:rsidR="00BB216A" w14:paraId="2C3946A3" w14:textId="77777777" w:rsidTr="00BB216A">
        <w:tc>
          <w:tcPr>
            <w:tcW w:w="2410" w:type="dxa"/>
            <w:tcBorders>
              <w:bottom w:val="single" w:sz="4" w:space="0" w:color="000000"/>
            </w:tcBorders>
            <w:shd w:val="clear" w:color="auto" w:fill="EDEDED" w:themeFill="accent3" w:themeFillTint="33"/>
          </w:tcPr>
          <w:p w14:paraId="5668DC38" w14:textId="77777777" w:rsidR="00BB216A" w:rsidRPr="00BF4CE0" w:rsidRDefault="00BB216A" w:rsidP="00F62F5B">
            <w:pPr>
              <w:pStyle w:val="Heading3"/>
              <w:pBdr>
                <w:top w:val="none" w:sz="0" w:space="0" w:color="000000"/>
                <w:left w:val="none" w:sz="0" w:space="0" w:color="000000"/>
                <w:bottom w:val="none" w:sz="0" w:space="0" w:color="000000"/>
                <w:right w:val="none" w:sz="0" w:space="0" w:color="000000"/>
                <w:between w:val="none" w:sz="0" w:space="0" w:color="000000"/>
              </w:pBdr>
              <w:spacing w:before="0" w:after="0" w:line="240" w:lineRule="auto"/>
              <w:ind w:left="0" w:hanging="2"/>
              <w:jc w:val="center"/>
              <w:rPr>
                <w:rFonts w:ascii="Garamond" w:eastAsia="Book Antiqua" w:hAnsi="Garamond" w:cs="Book Antiqua"/>
                <w:b/>
              </w:rPr>
            </w:pPr>
            <w:r w:rsidRPr="00BF4CE0">
              <w:rPr>
                <w:rFonts w:ascii="Garamond" w:eastAsia="Book Antiqua" w:hAnsi="Garamond" w:cs="Book Antiqua"/>
                <w:b/>
              </w:rPr>
              <w:t>ARTICLE INFORMATION</w:t>
            </w:r>
          </w:p>
          <w:p w14:paraId="0FD524A4" w14:textId="77777777" w:rsidR="00BB216A" w:rsidRPr="00BF4CE0" w:rsidRDefault="00BB216A" w:rsidP="006A6CC1">
            <w:pPr>
              <w:ind w:hanging="2"/>
              <w:rPr>
                <w:rFonts w:ascii="Garamond" w:hAnsi="Garamond"/>
                <w:sz w:val="24"/>
                <w:szCs w:val="24"/>
              </w:rPr>
            </w:pPr>
          </w:p>
        </w:tc>
        <w:tc>
          <w:tcPr>
            <w:tcW w:w="6270" w:type="dxa"/>
            <w:tcBorders>
              <w:bottom w:val="single" w:sz="4" w:space="0" w:color="000000"/>
            </w:tcBorders>
            <w:shd w:val="clear" w:color="auto" w:fill="EDEDED" w:themeFill="accent3" w:themeFillTint="33"/>
          </w:tcPr>
          <w:p w14:paraId="280DC2DE" w14:textId="77777777" w:rsidR="00BB216A" w:rsidRPr="00BF4CE0" w:rsidRDefault="00BB216A" w:rsidP="00F62F5B">
            <w:pPr>
              <w:pStyle w:val="Heading3"/>
              <w:pBdr>
                <w:top w:val="none" w:sz="0" w:space="0" w:color="000000"/>
                <w:left w:val="none" w:sz="0" w:space="0" w:color="000000"/>
                <w:bottom w:val="none" w:sz="0" w:space="0" w:color="000000"/>
                <w:right w:val="none" w:sz="0" w:space="0" w:color="000000"/>
                <w:between w:val="none" w:sz="0" w:space="0" w:color="000000"/>
              </w:pBdr>
              <w:spacing w:before="0" w:after="0" w:line="240" w:lineRule="auto"/>
              <w:ind w:left="0" w:hanging="2"/>
              <w:jc w:val="center"/>
              <w:rPr>
                <w:rFonts w:ascii="Garamond" w:eastAsia="Book Antiqua" w:hAnsi="Garamond" w:cs="Book Antiqua"/>
                <w:b/>
              </w:rPr>
            </w:pPr>
            <w:r w:rsidRPr="00BF4CE0">
              <w:rPr>
                <w:rFonts w:ascii="Garamond" w:eastAsia="Book Antiqua" w:hAnsi="Garamond" w:cs="Book Antiqua"/>
                <w:b/>
              </w:rPr>
              <w:t>ABSTRACT</w:t>
            </w:r>
          </w:p>
          <w:p w14:paraId="32F99797" w14:textId="77777777" w:rsidR="00BB216A" w:rsidRPr="00BF4CE0" w:rsidRDefault="00BB216A" w:rsidP="006A6CC1">
            <w:pPr>
              <w:ind w:hanging="2"/>
              <w:rPr>
                <w:rFonts w:ascii="Garamond" w:hAnsi="Garamond"/>
                <w:sz w:val="24"/>
                <w:szCs w:val="24"/>
              </w:rPr>
            </w:pPr>
          </w:p>
        </w:tc>
      </w:tr>
      <w:tr w:rsidR="00BB216A" w14:paraId="3AC070DA" w14:textId="77777777" w:rsidTr="00BB216A">
        <w:trPr>
          <w:trHeight w:val="510"/>
        </w:trPr>
        <w:tc>
          <w:tcPr>
            <w:tcW w:w="2410" w:type="dxa"/>
            <w:vMerge w:val="restart"/>
            <w:tcBorders>
              <w:top w:val="single" w:sz="4" w:space="0" w:color="000000"/>
            </w:tcBorders>
            <w:shd w:val="clear" w:color="auto" w:fill="F2F2F2"/>
          </w:tcPr>
          <w:p w14:paraId="2C579955" w14:textId="77777777" w:rsidR="00BB216A" w:rsidRPr="00BF4CE0" w:rsidRDefault="00BB216A" w:rsidP="006A6CC1">
            <w:pPr>
              <w:pStyle w:val="Heading3"/>
              <w:pBdr>
                <w:top w:val="none" w:sz="0" w:space="0" w:color="000000"/>
                <w:left w:val="none" w:sz="0" w:space="0" w:color="000000"/>
                <w:bottom w:val="none" w:sz="0" w:space="0" w:color="000000"/>
                <w:right w:val="none" w:sz="0" w:space="0" w:color="000000"/>
                <w:between w:val="none" w:sz="0" w:space="0" w:color="000000"/>
              </w:pBdr>
              <w:spacing w:before="60" w:after="0" w:line="240" w:lineRule="auto"/>
              <w:ind w:left="0" w:hanging="2"/>
              <w:jc w:val="both"/>
              <w:rPr>
                <w:rFonts w:ascii="Garamond" w:eastAsia="Book Antiqua" w:hAnsi="Garamond" w:cs="Book Antiqua"/>
                <w:b/>
                <w:i/>
                <w:color w:val="000000" w:themeColor="text1"/>
              </w:rPr>
            </w:pPr>
            <w:r w:rsidRPr="00BF4CE0">
              <w:rPr>
                <w:rFonts w:ascii="Garamond" w:eastAsia="Book Antiqua" w:hAnsi="Garamond" w:cs="Book Antiqua"/>
                <w:b/>
                <w:i/>
                <w:color w:val="000000" w:themeColor="text1"/>
              </w:rPr>
              <w:t>Keywords:</w:t>
            </w:r>
          </w:p>
          <w:p w14:paraId="37A21B9C" w14:textId="77777777" w:rsidR="00BB216A" w:rsidRPr="00BF4CE0" w:rsidRDefault="00BB216A" w:rsidP="006A6CC1">
            <w:pPr>
              <w:ind w:hanging="2"/>
              <w:rPr>
                <w:rFonts w:ascii="Garamond" w:eastAsia="Book Antiqua" w:hAnsi="Garamond" w:cs="Book Antiqua"/>
                <w:b/>
                <w:iCs/>
                <w:color w:val="000000" w:themeColor="text1"/>
                <w:sz w:val="24"/>
                <w:szCs w:val="24"/>
              </w:rPr>
            </w:pPr>
            <w:r w:rsidRPr="00BF4CE0">
              <w:rPr>
                <w:rFonts w:ascii="Garamond" w:eastAsia="Book Antiqua" w:hAnsi="Garamond" w:cs="Book Antiqua"/>
                <w:i/>
                <w:color w:val="000000" w:themeColor="text1"/>
                <w:sz w:val="24"/>
                <w:szCs w:val="24"/>
              </w:rPr>
              <w:t>xxx; xxx; xxx.</w:t>
            </w:r>
            <w:r w:rsidRPr="00BF4CE0">
              <w:rPr>
                <w:rFonts w:ascii="Garamond" w:eastAsia="Book Antiqua" w:hAnsi="Garamond" w:cs="Book Antiqua"/>
                <w:iCs/>
                <w:color w:val="000000" w:themeColor="text1"/>
                <w:sz w:val="24"/>
                <w:szCs w:val="24"/>
              </w:rPr>
              <w:t>(maximum 5 keywords)</w:t>
            </w:r>
          </w:p>
          <w:p w14:paraId="6109FF52" w14:textId="77777777" w:rsidR="00BB216A" w:rsidRDefault="00BB216A" w:rsidP="006A6CC1">
            <w:pPr>
              <w:ind w:hanging="2"/>
              <w:rPr>
                <w:rFonts w:ascii="Garamond" w:eastAsia="Book Antiqua" w:hAnsi="Garamond" w:cs="Book Antiqua"/>
                <w:b/>
                <w:i/>
                <w:color w:val="000000" w:themeColor="text1"/>
                <w:sz w:val="24"/>
                <w:szCs w:val="24"/>
              </w:rPr>
            </w:pPr>
            <w:r w:rsidRPr="00BF4CE0">
              <w:rPr>
                <w:rFonts w:ascii="Garamond" w:eastAsia="Book Antiqua" w:hAnsi="Garamond" w:cs="Book Antiqua"/>
                <w:b/>
                <w:i/>
                <w:color w:val="000000" w:themeColor="text1"/>
                <w:sz w:val="24"/>
                <w:szCs w:val="24"/>
              </w:rPr>
              <w:t>How to quote:</w:t>
            </w:r>
          </w:p>
          <w:p w14:paraId="4019FDED" w14:textId="7F16CDD7" w:rsidR="00BB216A" w:rsidRDefault="00BB216A" w:rsidP="00F62F5B">
            <w:pPr>
              <w:ind w:hanging="2"/>
              <w:rPr>
                <w:rFonts w:ascii="Garamond" w:eastAsia="Book Antiqua" w:hAnsi="Garamond" w:cs="Book Antiqua"/>
                <w:i/>
                <w:color w:val="000000" w:themeColor="text1"/>
                <w:sz w:val="24"/>
                <w:szCs w:val="24"/>
              </w:rPr>
            </w:pPr>
            <w:r w:rsidRPr="00BF4CE0">
              <w:rPr>
                <w:rFonts w:ascii="Garamond" w:eastAsia="Book Antiqua" w:hAnsi="Garamond" w:cs="Book Antiqua"/>
                <w:i/>
                <w:color w:val="000000" w:themeColor="text1"/>
                <w:sz w:val="24"/>
                <w:szCs w:val="24"/>
              </w:rPr>
              <w:t>xxx.xxxx.xxxx</w:t>
            </w:r>
          </w:p>
          <w:p w14:paraId="6E8250B9" w14:textId="77777777" w:rsidR="00BB216A" w:rsidRDefault="00BB216A" w:rsidP="006A6CC1">
            <w:pPr>
              <w:ind w:hanging="2"/>
              <w:rPr>
                <w:rFonts w:ascii="Garamond" w:eastAsia="Book Antiqua" w:hAnsi="Garamond" w:cs="Book Antiqua"/>
                <w:i/>
                <w:color w:val="000000" w:themeColor="text1"/>
                <w:sz w:val="24"/>
                <w:szCs w:val="24"/>
              </w:rPr>
            </w:pPr>
          </w:p>
          <w:p w14:paraId="5794C9D9" w14:textId="402F37F4" w:rsidR="00BB216A" w:rsidRPr="00BF4CE0" w:rsidRDefault="00BB216A" w:rsidP="006A6CC1">
            <w:pPr>
              <w:ind w:hanging="2"/>
              <w:rPr>
                <w:rFonts w:ascii="Garamond" w:eastAsia="Book Antiqua" w:hAnsi="Garamond" w:cs="Book Antiqua"/>
                <w:i/>
                <w:color w:val="000000" w:themeColor="text1"/>
                <w:sz w:val="24"/>
                <w:szCs w:val="24"/>
              </w:rPr>
            </w:pPr>
            <w:r w:rsidRPr="00BF4CE0">
              <w:rPr>
                <w:rFonts w:ascii="Garamond" w:eastAsia="Book Antiqua" w:hAnsi="Garamond" w:cs="Book Antiqua"/>
                <w:b/>
                <w:i/>
                <w:color w:val="000000" w:themeColor="text1"/>
                <w:sz w:val="24"/>
                <w:szCs w:val="24"/>
              </w:rPr>
              <w:t xml:space="preserve">DOI: https://doi.org/ </w:t>
            </w:r>
            <w:r w:rsidRPr="00BF4CE0">
              <w:rPr>
                <w:rFonts w:ascii="Garamond" w:eastAsia="Book Antiqua" w:hAnsi="Garamond" w:cs="Book Antiqua"/>
                <w:i/>
                <w:color w:val="000000" w:themeColor="text1"/>
                <w:sz w:val="24"/>
                <w:szCs w:val="24"/>
              </w:rPr>
              <w:t>xxx.xxxx.xxxx</w:t>
            </w:r>
          </w:p>
          <w:p w14:paraId="4303C954" w14:textId="77777777" w:rsidR="00BB216A" w:rsidRPr="00BF4CE0" w:rsidRDefault="00BB216A" w:rsidP="003559C3">
            <w:pPr>
              <w:ind w:hanging="2"/>
              <w:rPr>
                <w:rFonts w:ascii="Garamond" w:eastAsia="Book Antiqua" w:hAnsi="Garamond" w:cs="Book Antiqua"/>
                <w:color w:val="000000" w:themeColor="text1"/>
                <w:sz w:val="24"/>
                <w:szCs w:val="24"/>
              </w:rPr>
            </w:pPr>
          </w:p>
        </w:tc>
        <w:tc>
          <w:tcPr>
            <w:tcW w:w="6270" w:type="dxa"/>
            <w:vMerge w:val="restart"/>
            <w:tcBorders>
              <w:top w:val="single" w:sz="4" w:space="0" w:color="000000"/>
              <w:bottom w:val="nil"/>
            </w:tcBorders>
          </w:tcPr>
          <w:p w14:paraId="1C16618F" w14:textId="3D4A90F2" w:rsidR="00BB216A" w:rsidRPr="00BF4CE0" w:rsidRDefault="00BB216A" w:rsidP="006A6CC1">
            <w:pPr>
              <w:pStyle w:val="Heading3"/>
              <w:spacing w:before="60" w:after="0" w:line="240" w:lineRule="auto"/>
              <w:ind w:left="0" w:hanging="2"/>
              <w:jc w:val="both"/>
              <w:rPr>
                <w:rFonts w:ascii="Garamond" w:eastAsia="Book Antiqua" w:hAnsi="Garamond" w:cs="Book Antiqua"/>
                <w:i/>
                <w:color w:val="000000" w:themeColor="text1"/>
              </w:rPr>
            </w:pPr>
            <w:r w:rsidRPr="00BF4CE0">
              <w:rPr>
                <w:rFonts w:ascii="Garamond" w:eastAsia="Book Antiqua" w:hAnsi="Garamond" w:cs="Book Antiqua"/>
                <w:i/>
                <w:color w:val="000000" w:themeColor="text1"/>
              </w:rPr>
              <w:t xml:space="preserve">Write your abstract here. The abstract should be clear, concise, and descriptive. This abstract should provide a brief introduction to the problem, the purpose of the manuscript, followed by a statement regarding the methodology and a brief summary of the results. Abstracts are typed with a single space in English, a maximum of </w:t>
            </w:r>
            <w:r>
              <w:rPr>
                <w:rFonts w:ascii="Garamond" w:eastAsia="Book Antiqua" w:hAnsi="Garamond" w:cs="Book Antiqua"/>
                <w:i/>
                <w:color w:val="000000" w:themeColor="text1"/>
              </w:rPr>
              <w:t>30</w:t>
            </w:r>
            <w:r w:rsidRPr="00BF4CE0">
              <w:rPr>
                <w:rFonts w:ascii="Garamond" w:eastAsia="Book Antiqua" w:hAnsi="Garamond" w:cs="Book Antiqua"/>
                <w:i/>
                <w:color w:val="000000" w:themeColor="text1"/>
              </w:rPr>
              <w:t xml:space="preserve">0 words. Written in italicized Garamond font (11pt) and should be between </w:t>
            </w:r>
            <w:r>
              <w:rPr>
                <w:rFonts w:ascii="Garamond" w:eastAsia="Book Antiqua" w:hAnsi="Garamond" w:cs="Book Antiqua"/>
                <w:i/>
                <w:color w:val="000000" w:themeColor="text1"/>
              </w:rPr>
              <w:t>20</w:t>
            </w:r>
            <w:r w:rsidRPr="00BF4CE0">
              <w:rPr>
                <w:rFonts w:ascii="Garamond" w:eastAsia="Book Antiqua" w:hAnsi="Garamond" w:cs="Book Antiqua"/>
                <w:i/>
                <w:color w:val="000000" w:themeColor="text1"/>
              </w:rPr>
              <w:t xml:space="preserve">0 to </w:t>
            </w:r>
            <w:r>
              <w:rPr>
                <w:rFonts w:ascii="Garamond" w:eastAsia="Book Antiqua" w:hAnsi="Garamond" w:cs="Book Antiqua"/>
                <w:i/>
                <w:color w:val="000000" w:themeColor="text1"/>
              </w:rPr>
              <w:t>3</w:t>
            </w:r>
            <w:r w:rsidRPr="00BF4CE0">
              <w:rPr>
                <w:rFonts w:ascii="Garamond" w:eastAsia="Book Antiqua" w:hAnsi="Garamond" w:cs="Book Antiqua"/>
                <w:i/>
                <w:color w:val="000000" w:themeColor="text1"/>
              </w:rPr>
              <w:t>00 words.</w:t>
            </w:r>
          </w:p>
          <w:p w14:paraId="21A96745" w14:textId="3EFF78F0" w:rsidR="00BB216A" w:rsidRPr="00BF4CE0" w:rsidRDefault="00BB216A" w:rsidP="006A6CC1">
            <w:pPr>
              <w:ind w:hanging="2"/>
              <w:rPr>
                <w:rFonts w:ascii="Garamond" w:hAnsi="Garamond"/>
                <w:color w:val="000000" w:themeColor="text1"/>
                <w:sz w:val="24"/>
                <w:szCs w:val="24"/>
              </w:rPr>
            </w:pPr>
          </w:p>
          <w:p w14:paraId="7AEB9502" w14:textId="629BBCF7" w:rsidR="00BB216A" w:rsidRPr="00BF4CE0" w:rsidRDefault="00BB216A" w:rsidP="006A6CC1">
            <w:pPr>
              <w:ind w:hanging="2"/>
              <w:rPr>
                <w:rFonts w:ascii="Garamond" w:eastAsia="Book Antiqua" w:hAnsi="Garamond" w:cs="Book Antiqua"/>
                <w:color w:val="000000" w:themeColor="text1"/>
                <w:sz w:val="24"/>
                <w:szCs w:val="24"/>
              </w:rPr>
            </w:pPr>
          </w:p>
        </w:tc>
      </w:tr>
      <w:tr w:rsidR="00BB216A" w14:paraId="11823FE1" w14:textId="77777777" w:rsidTr="00BB216A">
        <w:trPr>
          <w:trHeight w:val="510"/>
        </w:trPr>
        <w:tc>
          <w:tcPr>
            <w:tcW w:w="2410" w:type="dxa"/>
            <w:vMerge/>
            <w:tcBorders>
              <w:top w:val="single" w:sz="4" w:space="0" w:color="000000"/>
            </w:tcBorders>
            <w:shd w:val="clear" w:color="auto" w:fill="F2F2F2"/>
          </w:tcPr>
          <w:p w14:paraId="03B6303E" w14:textId="77777777" w:rsidR="00BB216A" w:rsidRPr="00BF4CE0" w:rsidRDefault="00BB216A" w:rsidP="006A6CC1">
            <w:pPr>
              <w:widowControl w:val="0"/>
              <w:pBdr>
                <w:top w:val="nil"/>
                <w:left w:val="nil"/>
                <w:bottom w:val="nil"/>
                <w:right w:val="nil"/>
                <w:between w:val="nil"/>
              </w:pBdr>
              <w:ind w:hanging="2"/>
              <w:rPr>
                <w:rFonts w:ascii="Garamond" w:eastAsia="Book Antiqua" w:hAnsi="Garamond" w:cs="Book Antiqua"/>
                <w:color w:val="000000" w:themeColor="text1"/>
                <w:sz w:val="24"/>
                <w:szCs w:val="24"/>
              </w:rPr>
            </w:pPr>
          </w:p>
        </w:tc>
        <w:tc>
          <w:tcPr>
            <w:tcW w:w="6270" w:type="dxa"/>
            <w:vMerge/>
            <w:tcBorders>
              <w:top w:val="single" w:sz="4" w:space="0" w:color="000000"/>
              <w:bottom w:val="nil"/>
            </w:tcBorders>
          </w:tcPr>
          <w:p w14:paraId="72285CEF" w14:textId="77777777" w:rsidR="00BB216A" w:rsidRPr="00BF4CE0" w:rsidRDefault="00BB216A" w:rsidP="006A6CC1">
            <w:pPr>
              <w:widowControl w:val="0"/>
              <w:pBdr>
                <w:top w:val="nil"/>
                <w:left w:val="nil"/>
                <w:bottom w:val="nil"/>
                <w:right w:val="nil"/>
                <w:between w:val="nil"/>
              </w:pBdr>
              <w:ind w:hanging="2"/>
              <w:rPr>
                <w:rFonts w:ascii="Garamond" w:eastAsia="Book Antiqua" w:hAnsi="Garamond" w:cs="Book Antiqua"/>
                <w:color w:val="000000" w:themeColor="text1"/>
                <w:sz w:val="24"/>
                <w:szCs w:val="24"/>
              </w:rPr>
            </w:pPr>
          </w:p>
        </w:tc>
      </w:tr>
      <w:tr w:rsidR="00BB216A" w14:paraId="1DC23AA4" w14:textId="77777777" w:rsidTr="00BB216A">
        <w:trPr>
          <w:trHeight w:val="510"/>
        </w:trPr>
        <w:tc>
          <w:tcPr>
            <w:tcW w:w="2410" w:type="dxa"/>
            <w:vMerge/>
            <w:tcBorders>
              <w:top w:val="single" w:sz="4" w:space="0" w:color="000000"/>
            </w:tcBorders>
            <w:shd w:val="clear" w:color="auto" w:fill="F2F2F2"/>
          </w:tcPr>
          <w:p w14:paraId="4CD94260" w14:textId="77777777" w:rsidR="00BB216A" w:rsidRPr="00BF4CE0" w:rsidRDefault="00BB216A" w:rsidP="006A6CC1">
            <w:pPr>
              <w:widowControl w:val="0"/>
              <w:pBdr>
                <w:top w:val="nil"/>
                <w:left w:val="nil"/>
                <w:bottom w:val="nil"/>
                <w:right w:val="nil"/>
                <w:between w:val="nil"/>
              </w:pBdr>
              <w:ind w:hanging="2"/>
              <w:rPr>
                <w:rFonts w:ascii="Garamond" w:eastAsia="Book Antiqua" w:hAnsi="Garamond" w:cs="Book Antiqua"/>
                <w:color w:val="000000" w:themeColor="text1"/>
                <w:sz w:val="24"/>
                <w:szCs w:val="24"/>
              </w:rPr>
            </w:pPr>
          </w:p>
        </w:tc>
        <w:tc>
          <w:tcPr>
            <w:tcW w:w="6270" w:type="dxa"/>
            <w:vMerge/>
            <w:tcBorders>
              <w:top w:val="single" w:sz="4" w:space="0" w:color="000000"/>
              <w:bottom w:val="nil"/>
            </w:tcBorders>
          </w:tcPr>
          <w:p w14:paraId="79C53654" w14:textId="77777777" w:rsidR="00BB216A" w:rsidRPr="00BF4CE0" w:rsidRDefault="00BB216A" w:rsidP="006A6CC1">
            <w:pPr>
              <w:widowControl w:val="0"/>
              <w:pBdr>
                <w:top w:val="nil"/>
                <w:left w:val="nil"/>
                <w:bottom w:val="nil"/>
                <w:right w:val="nil"/>
                <w:between w:val="nil"/>
              </w:pBdr>
              <w:ind w:hanging="2"/>
              <w:rPr>
                <w:rFonts w:ascii="Garamond" w:eastAsia="Book Antiqua" w:hAnsi="Garamond" w:cs="Book Antiqua"/>
                <w:color w:val="000000" w:themeColor="text1"/>
                <w:sz w:val="24"/>
                <w:szCs w:val="24"/>
              </w:rPr>
            </w:pPr>
          </w:p>
        </w:tc>
      </w:tr>
      <w:tr w:rsidR="00BB216A" w14:paraId="6944EB53" w14:textId="77777777" w:rsidTr="00BB216A">
        <w:tc>
          <w:tcPr>
            <w:tcW w:w="2410" w:type="dxa"/>
            <w:vMerge/>
            <w:tcBorders>
              <w:top w:val="single" w:sz="4" w:space="0" w:color="000000"/>
            </w:tcBorders>
            <w:shd w:val="clear" w:color="auto" w:fill="F2F2F2"/>
          </w:tcPr>
          <w:p w14:paraId="3F505E73" w14:textId="77777777" w:rsidR="00BB216A" w:rsidRPr="00BF4CE0" w:rsidRDefault="00BB216A" w:rsidP="006A6CC1">
            <w:pPr>
              <w:widowControl w:val="0"/>
              <w:pBdr>
                <w:top w:val="nil"/>
                <w:left w:val="nil"/>
                <w:bottom w:val="nil"/>
                <w:right w:val="nil"/>
                <w:between w:val="nil"/>
              </w:pBdr>
              <w:ind w:hanging="2"/>
              <w:rPr>
                <w:rFonts w:ascii="Garamond" w:eastAsia="Book Antiqua" w:hAnsi="Garamond" w:cs="Book Antiqua"/>
                <w:color w:val="000000" w:themeColor="text1"/>
                <w:sz w:val="24"/>
                <w:szCs w:val="24"/>
              </w:rPr>
            </w:pPr>
          </w:p>
        </w:tc>
        <w:tc>
          <w:tcPr>
            <w:tcW w:w="6270" w:type="dxa"/>
            <w:tcBorders>
              <w:top w:val="nil"/>
            </w:tcBorders>
          </w:tcPr>
          <w:p w14:paraId="18E996FF" w14:textId="77777777" w:rsidR="00BB216A" w:rsidRPr="00C2137C" w:rsidRDefault="00BB216A" w:rsidP="006A6CC1">
            <w:pPr>
              <w:pStyle w:val="Heading3"/>
              <w:pBdr>
                <w:top w:val="none" w:sz="0" w:space="0" w:color="000000"/>
                <w:left w:val="none" w:sz="0" w:space="0" w:color="000000"/>
                <w:bottom w:val="none" w:sz="0" w:space="0" w:color="000000"/>
                <w:right w:val="none" w:sz="0" w:space="0" w:color="000000"/>
                <w:between w:val="none" w:sz="0" w:space="0" w:color="000000"/>
              </w:pBdr>
              <w:spacing w:before="0" w:after="60" w:line="240" w:lineRule="auto"/>
              <w:ind w:left="0" w:hanging="2"/>
              <w:jc w:val="right"/>
              <w:rPr>
                <w:rFonts w:ascii="Garamond" w:eastAsia="Book Antiqua" w:hAnsi="Garamond" w:cs="Book Antiqua"/>
                <w:i/>
                <w:color w:val="000000" w:themeColor="text1"/>
                <w:lang w:val="pl-PL"/>
              </w:rPr>
            </w:pPr>
          </w:p>
          <w:p w14:paraId="54527779" w14:textId="77777777" w:rsidR="00BB216A" w:rsidRPr="00C2137C" w:rsidRDefault="00BB216A" w:rsidP="006A6CC1">
            <w:pPr>
              <w:pStyle w:val="Heading3"/>
              <w:pBdr>
                <w:top w:val="none" w:sz="0" w:space="0" w:color="000000"/>
                <w:left w:val="none" w:sz="0" w:space="0" w:color="000000"/>
                <w:bottom w:val="none" w:sz="0" w:space="0" w:color="000000"/>
                <w:right w:val="none" w:sz="0" w:space="0" w:color="000000"/>
                <w:between w:val="none" w:sz="0" w:space="0" w:color="000000"/>
              </w:pBdr>
              <w:spacing w:before="0" w:after="60" w:line="240" w:lineRule="auto"/>
              <w:ind w:left="0" w:hanging="2"/>
              <w:jc w:val="right"/>
              <w:rPr>
                <w:rFonts w:ascii="Garamond" w:eastAsia="Book Antiqua" w:hAnsi="Garamond" w:cs="Book Antiqua"/>
                <w:i/>
                <w:color w:val="000000" w:themeColor="text1"/>
                <w:lang w:val="pl-PL"/>
              </w:rPr>
            </w:pPr>
          </w:p>
          <w:p w14:paraId="7ABE37B1" w14:textId="77777777" w:rsidR="00BB216A" w:rsidRPr="00C2137C" w:rsidRDefault="00BB216A" w:rsidP="006A6CC1">
            <w:pPr>
              <w:pStyle w:val="Heading3"/>
              <w:pBdr>
                <w:top w:val="none" w:sz="0" w:space="0" w:color="000000"/>
                <w:left w:val="none" w:sz="0" w:space="0" w:color="000000"/>
                <w:bottom w:val="none" w:sz="0" w:space="0" w:color="000000"/>
                <w:right w:val="none" w:sz="0" w:space="0" w:color="000000"/>
                <w:between w:val="none" w:sz="0" w:space="0" w:color="000000"/>
              </w:pBdr>
              <w:spacing w:before="0" w:after="60" w:line="240" w:lineRule="auto"/>
              <w:ind w:left="0" w:hanging="2"/>
              <w:jc w:val="right"/>
              <w:rPr>
                <w:rFonts w:ascii="Garamond" w:eastAsia="Book Antiqua" w:hAnsi="Garamond" w:cs="Book Antiqua"/>
                <w:i/>
                <w:color w:val="000000" w:themeColor="text1"/>
                <w:lang w:val="pl-PL"/>
              </w:rPr>
            </w:pPr>
          </w:p>
          <w:p w14:paraId="6E6B803A" w14:textId="77777777" w:rsidR="00BB216A" w:rsidRPr="00C2137C" w:rsidRDefault="00BB216A" w:rsidP="006A6CC1">
            <w:pPr>
              <w:pStyle w:val="Heading3"/>
              <w:pBdr>
                <w:top w:val="none" w:sz="0" w:space="0" w:color="000000"/>
                <w:left w:val="none" w:sz="0" w:space="0" w:color="000000"/>
                <w:bottom w:val="none" w:sz="0" w:space="0" w:color="000000"/>
                <w:right w:val="none" w:sz="0" w:space="0" w:color="000000"/>
                <w:between w:val="none" w:sz="0" w:space="0" w:color="000000"/>
              </w:pBdr>
              <w:spacing w:before="0" w:after="60" w:line="240" w:lineRule="auto"/>
              <w:ind w:left="0" w:hanging="2"/>
              <w:jc w:val="right"/>
              <w:rPr>
                <w:rFonts w:ascii="Garamond" w:eastAsia="Book Antiqua" w:hAnsi="Garamond" w:cs="Book Antiqua"/>
                <w:i/>
                <w:color w:val="000000" w:themeColor="text1"/>
                <w:lang w:val="pl-PL"/>
              </w:rPr>
            </w:pPr>
          </w:p>
          <w:p w14:paraId="2D2325E3" w14:textId="77777777" w:rsidR="00BB216A" w:rsidRPr="00C2137C" w:rsidRDefault="00BB216A" w:rsidP="006A6CC1">
            <w:pPr>
              <w:pStyle w:val="Heading3"/>
              <w:pBdr>
                <w:top w:val="none" w:sz="0" w:space="0" w:color="000000"/>
                <w:left w:val="none" w:sz="0" w:space="0" w:color="000000"/>
                <w:bottom w:val="none" w:sz="0" w:space="0" w:color="000000"/>
                <w:right w:val="none" w:sz="0" w:space="0" w:color="000000"/>
                <w:between w:val="none" w:sz="0" w:space="0" w:color="000000"/>
              </w:pBdr>
              <w:spacing w:before="0" w:after="60" w:line="240" w:lineRule="auto"/>
              <w:ind w:left="0" w:hanging="2"/>
              <w:jc w:val="right"/>
              <w:rPr>
                <w:rFonts w:ascii="Garamond" w:eastAsia="Book Antiqua" w:hAnsi="Garamond" w:cs="Book Antiqua"/>
                <w:i/>
                <w:color w:val="000000" w:themeColor="text1"/>
                <w:lang w:val="pl-PL"/>
              </w:rPr>
            </w:pPr>
          </w:p>
          <w:p w14:paraId="38712FD6" w14:textId="1A325834" w:rsidR="00BB216A" w:rsidRPr="00BB216A" w:rsidRDefault="00BB216A" w:rsidP="006A6CC1">
            <w:pPr>
              <w:pStyle w:val="Heading3"/>
              <w:pBdr>
                <w:top w:val="none" w:sz="0" w:space="0" w:color="000000"/>
                <w:left w:val="none" w:sz="0" w:space="0" w:color="000000"/>
                <w:bottom w:val="none" w:sz="0" w:space="0" w:color="000000"/>
                <w:right w:val="none" w:sz="0" w:space="0" w:color="000000"/>
                <w:between w:val="none" w:sz="0" w:space="0" w:color="000000"/>
              </w:pBdr>
              <w:spacing w:before="0" w:after="60" w:line="240" w:lineRule="auto"/>
              <w:ind w:left="0" w:hanging="2"/>
              <w:jc w:val="right"/>
              <w:rPr>
                <w:rFonts w:ascii="Garamond" w:eastAsia="Book Antiqua" w:hAnsi="Garamond" w:cs="Book Antiqua"/>
                <w:i/>
                <w:color w:val="000000" w:themeColor="text1"/>
              </w:rPr>
            </w:pPr>
            <w:r w:rsidRPr="00BB216A">
              <w:rPr>
                <w:rFonts w:ascii="Garamond" w:eastAsia="Book Antiqua" w:hAnsi="Garamond" w:cs="Book Antiqua"/>
                <w:i/>
                <w:color w:val="000000" w:themeColor="text1"/>
              </w:rPr>
              <w:t>@</w:t>
            </w:r>
            <w:r w:rsidRPr="00BB216A">
              <w:rPr>
                <w:rFonts w:ascii="Garamond" w:hAnsi="Garamond"/>
                <w:b/>
                <w:bCs/>
              </w:rPr>
              <w:t>Creative Commons Attribution-</w:t>
            </w:r>
            <w:proofErr w:type="spellStart"/>
            <w:r w:rsidRPr="00BB216A">
              <w:rPr>
                <w:rFonts w:ascii="Garamond" w:hAnsi="Garamond"/>
                <w:b/>
                <w:bCs/>
              </w:rPr>
              <w:t>ShareAlike</w:t>
            </w:r>
            <w:proofErr w:type="spellEnd"/>
            <w:r w:rsidRPr="00BB216A">
              <w:rPr>
                <w:rFonts w:ascii="Garamond" w:hAnsi="Garamond"/>
                <w:b/>
                <w:bCs/>
              </w:rPr>
              <w:t xml:space="preserve"> 4.0 International License (CC BY-SA 4.0)</w:t>
            </w:r>
          </w:p>
        </w:tc>
      </w:tr>
    </w:tbl>
    <w:p w14:paraId="126F22F7" w14:textId="77777777" w:rsidR="00A60C6C" w:rsidRDefault="00A60C6C" w:rsidP="00A60C6C">
      <w:pPr>
        <w:pBdr>
          <w:bottom w:val="single" w:sz="6" w:space="0" w:color="auto"/>
        </w:pBdr>
        <w:rPr>
          <w:rFonts w:ascii="Garamond" w:hAnsi="Garamond"/>
          <w:b/>
          <w:sz w:val="24"/>
          <w:szCs w:val="24"/>
          <w:lang w:val="en-US" w:eastAsia="pl-PL"/>
        </w:rPr>
      </w:pPr>
    </w:p>
    <w:p w14:paraId="4C9D1866" w14:textId="695E6EB8" w:rsidR="00A60C6C" w:rsidRDefault="00D35D90" w:rsidP="00A60C6C">
      <w:pPr>
        <w:pBdr>
          <w:bottom w:val="single" w:sz="6" w:space="0" w:color="auto"/>
        </w:pBdr>
        <w:rPr>
          <w:rFonts w:ascii="Garamond" w:hAnsi="Garamond"/>
          <w:b/>
          <w:sz w:val="28"/>
          <w:szCs w:val="28"/>
          <w:lang w:val="en-GB"/>
        </w:rPr>
      </w:pPr>
      <w:r>
        <w:rPr>
          <w:rFonts w:ascii="Garamond" w:hAnsi="Garamond"/>
          <w:b/>
          <w:sz w:val="28"/>
          <w:szCs w:val="28"/>
        </w:rPr>
        <w:t xml:space="preserve">A. </w:t>
      </w:r>
      <w:r w:rsidR="005A1522">
        <w:rPr>
          <w:rFonts w:ascii="Garamond" w:hAnsi="Garamond"/>
          <w:b/>
          <w:sz w:val="28"/>
          <w:szCs w:val="28"/>
        </w:rPr>
        <w:t>Introduction</w:t>
      </w:r>
      <w:r w:rsidR="009F6658" w:rsidRPr="00297C7D">
        <w:rPr>
          <w:rFonts w:ascii="Garamond" w:hAnsi="Garamond"/>
          <w:b/>
          <w:sz w:val="28"/>
          <w:szCs w:val="28"/>
        </w:rPr>
        <w:t xml:space="preserve"> (Garamond typed in bold, font size 14 pt)</w:t>
      </w:r>
    </w:p>
    <w:p w14:paraId="41BDE383" w14:textId="77777777" w:rsidR="00A60C6C" w:rsidRDefault="00297C7D" w:rsidP="00DB1AD8">
      <w:pPr>
        <w:pBdr>
          <w:bottom w:val="single" w:sz="6" w:space="0" w:color="auto"/>
        </w:pBdr>
        <w:jc w:val="both"/>
        <w:rPr>
          <w:rFonts w:ascii="Garamond" w:hAnsi="Garamond"/>
          <w:sz w:val="24"/>
          <w:szCs w:val="24"/>
        </w:rPr>
      </w:pPr>
      <w:r w:rsidRPr="00297C7D">
        <w:rPr>
          <w:rFonts w:ascii="Garamond" w:hAnsi="Garamond"/>
          <w:sz w:val="24"/>
          <w:szCs w:val="24"/>
        </w:rPr>
        <w:t>Your text here, Garamond with a font size of 12 pt, 1.5 line spacing, and left-right aligned paragraph style; Don't add spaces before and/or after paragraphs. It's much better not to format your text with a specific technique, but just leave it plain, unless you need to type certain words with a "special method", or to emphasize certain words. Italics are mandatory when typing non-English words.</w:t>
      </w:r>
    </w:p>
    <w:p w14:paraId="2CCDE5FE" w14:textId="77777777" w:rsidR="00A60C6C" w:rsidRDefault="00716E97" w:rsidP="00DB1AD8">
      <w:pPr>
        <w:pBdr>
          <w:bottom w:val="single" w:sz="6" w:space="0" w:color="auto"/>
        </w:pBdr>
        <w:jc w:val="both"/>
        <w:rPr>
          <w:rFonts w:ascii="Garamond" w:hAnsi="Garamond"/>
          <w:sz w:val="24"/>
          <w:szCs w:val="24"/>
          <w:lang w:val="en-US"/>
        </w:rPr>
      </w:pPr>
      <w:r w:rsidRPr="00297C7D">
        <w:rPr>
          <w:rFonts w:ascii="Garamond" w:hAnsi="Garamond"/>
          <w:sz w:val="24"/>
          <w:szCs w:val="24"/>
        </w:rPr>
        <w:t xml:space="preserve">The introduction should be clear and outline the issues to be addressed in the manuscript. Before the objective, the author should provide adequate background, and a very brief literature review to </w:t>
      </w:r>
      <w:r w:rsidRPr="00297C7D">
        <w:rPr>
          <w:rFonts w:ascii="Garamond" w:hAnsi="Garamond"/>
          <w:sz w:val="24"/>
          <w:szCs w:val="24"/>
        </w:rPr>
        <w:lastRenderedPageBreak/>
        <w:t>note the solutions at hand, show which ones are the best of previous research, point out the main limitations of previous research, show what is to be achieved (to overcome those limitations), and demonstrate the scientific value or novelty of the paper. At the end of the paragraph, the author should comment on the significance related to the identification of the issue and the purpose of the research.</w:t>
      </w:r>
    </w:p>
    <w:p w14:paraId="71FD0D19" w14:textId="11DA451C" w:rsidR="00A60C6C" w:rsidRDefault="00D56B89" w:rsidP="00DB1AD8">
      <w:pPr>
        <w:pBdr>
          <w:bottom w:val="single" w:sz="6" w:space="0" w:color="auto"/>
        </w:pBdr>
        <w:jc w:val="both"/>
        <w:rPr>
          <w:rFonts w:ascii="Garamond" w:hAnsi="Garamond"/>
          <w:sz w:val="24"/>
          <w:szCs w:val="24"/>
          <w:lang w:val="en-US"/>
        </w:rPr>
      </w:pPr>
      <w:r>
        <w:rPr>
          <w:rFonts w:ascii="Garamond" w:hAnsi="Garamond"/>
          <w:sz w:val="24"/>
          <w:szCs w:val="24"/>
        </w:rPr>
        <w:t>The bibliographic system of the Chicago Manual of Style 17</w:t>
      </w:r>
      <w:r w:rsidRPr="005A1522">
        <w:rPr>
          <w:rFonts w:ascii="Garamond" w:hAnsi="Garamond"/>
          <w:sz w:val="24"/>
          <w:szCs w:val="24"/>
          <w:vertAlign w:val="superscript"/>
        </w:rPr>
        <w:t>th</w:t>
      </w:r>
      <w:r>
        <w:rPr>
          <w:rFonts w:ascii="Garamond" w:hAnsi="Garamond"/>
          <w:sz w:val="24"/>
          <w:szCs w:val="24"/>
        </w:rPr>
        <w:t xml:space="preserve"> Edition (Complete Notes) should be applied, e.g.: Journals</w:t>
      </w:r>
      <w:r w:rsidR="00795F05">
        <w:rPr>
          <w:rStyle w:val="FootnoteReference"/>
          <w:rFonts w:ascii="Garamond" w:hAnsi="Garamond"/>
          <w:sz w:val="24"/>
          <w:szCs w:val="24"/>
        </w:rPr>
        <w:footnoteReference w:id="2"/>
      </w:r>
      <w:r w:rsidR="004E4321">
        <w:rPr>
          <w:rFonts w:ascii="Garamond" w:hAnsi="Garamond"/>
          <w:sz w:val="24"/>
          <w:szCs w:val="24"/>
        </w:rPr>
        <w:t>, Books</w:t>
      </w:r>
      <w:r w:rsidR="00BC2DF7">
        <w:rPr>
          <w:rStyle w:val="FootnoteReference"/>
          <w:rFonts w:ascii="Garamond" w:hAnsi="Garamond"/>
          <w:sz w:val="24"/>
          <w:szCs w:val="24"/>
        </w:rPr>
        <w:footnoteReference w:id="3"/>
      </w:r>
      <w:r w:rsidR="0002604E">
        <w:rPr>
          <w:rFonts w:ascii="Garamond" w:hAnsi="Garamond"/>
          <w:sz w:val="24"/>
          <w:szCs w:val="24"/>
        </w:rPr>
        <w:t xml:space="preserve">, </w:t>
      </w:r>
      <w:r w:rsidR="004E4321">
        <w:rPr>
          <w:rFonts w:ascii="Garamond" w:hAnsi="Garamond"/>
          <w:sz w:val="24"/>
          <w:szCs w:val="24"/>
        </w:rPr>
        <w:t>Websites</w:t>
      </w:r>
      <w:r w:rsidR="004E4321">
        <w:rPr>
          <w:rStyle w:val="FootnoteReference"/>
          <w:rFonts w:ascii="Garamond" w:hAnsi="Garamond"/>
          <w:sz w:val="24"/>
          <w:szCs w:val="24"/>
        </w:rPr>
        <w:footnoteReference w:id="4"/>
      </w:r>
      <w:r w:rsidR="00C80973">
        <w:rPr>
          <w:rFonts w:ascii="Garamond" w:hAnsi="Garamond"/>
          <w:sz w:val="24"/>
          <w:szCs w:val="24"/>
        </w:rPr>
        <w:t>, Conferences</w:t>
      </w:r>
      <w:r w:rsidR="00C80973">
        <w:rPr>
          <w:rStyle w:val="FootnoteReference"/>
          <w:rFonts w:ascii="Garamond" w:hAnsi="Garamond"/>
          <w:sz w:val="24"/>
          <w:szCs w:val="24"/>
        </w:rPr>
        <w:footnoteReference w:id="5"/>
      </w:r>
    </w:p>
    <w:p w14:paraId="13EC7165" w14:textId="3F34DD98" w:rsidR="00A60C6C" w:rsidRDefault="001A2511" w:rsidP="00DB1AD8">
      <w:pPr>
        <w:pBdr>
          <w:bottom w:val="single" w:sz="6" w:space="0" w:color="auto"/>
        </w:pBdr>
        <w:jc w:val="both"/>
        <w:rPr>
          <w:rFonts w:ascii="Garamond" w:hAnsi="Garamond"/>
          <w:sz w:val="24"/>
          <w:szCs w:val="24"/>
          <w:lang w:val="en-GB"/>
        </w:rPr>
      </w:pPr>
      <w:r w:rsidRPr="00297C7D">
        <w:rPr>
          <w:rFonts w:ascii="Garamond" w:hAnsi="Garamond"/>
          <w:sz w:val="24"/>
          <w:szCs w:val="24"/>
        </w:rPr>
        <w:t>In the text, the author should use abbreviated names, for example: Criminal Code (KUHP), Corporate Social Responsibility (CSR).</w:t>
      </w:r>
    </w:p>
    <w:p w14:paraId="70C6E629" w14:textId="7F99117C" w:rsidR="00A60C6C" w:rsidRDefault="00D35D90" w:rsidP="00DB1AD8">
      <w:pPr>
        <w:pBdr>
          <w:bottom w:val="single" w:sz="6" w:space="0" w:color="auto"/>
        </w:pBdr>
        <w:jc w:val="both"/>
        <w:rPr>
          <w:rFonts w:ascii="Garamond" w:hAnsi="Garamond"/>
          <w:b/>
          <w:sz w:val="28"/>
          <w:szCs w:val="28"/>
          <w:lang w:val="en-GB"/>
        </w:rPr>
      </w:pPr>
      <w:r>
        <w:rPr>
          <w:rFonts w:ascii="Garamond" w:hAnsi="Garamond"/>
          <w:b/>
          <w:sz w:val="28"/>
          <w:szCs w:val="28"/>
        </w:rPr>
        <w:t xml:space="preserve">B. </w:t>
      </w:r>
      <w:r w:rsidR="00F44E5C" w:rsidRPr="00297C7D">
        <w:rPr>
          <w:rFonts w:ascii="Garamond" w:hAnsi="Garamond"/>
          <w:b/>
          <w:sz w:val="28"/>
          <w:szCs w:val="28"/>
        </w:rPr>
        <w:t>Metho</w:t>
      </w:r>
      <w:r w:rsidR="005A1522">
        <w:rPr>
          <w:rFonts w:ascii="Garamond" w:hAnsi="Garamond"/>
          <w:b/>
          <w:sz w:val="28"/>
          <w:szCs w:val="28"/>
        </w:rPr>
        <w:t>ds</w:t>
      </w:r>
      <w:r w:rsidR="00F44E5C" w:rsidRPr="00297C7D">
        <w:rPr>
          <w:rFonts w:ascii="Garamond" w:hAnsi="Garamond"/>
          <w:b/>
          <w:sz w:val="28"/>
          <w:szCs w:val="28"/>
        </w:rPr>
        <w:t xml:space="preserve"> (Garamond typed in bold, font size 14 pt)</w:t>
      </w:r>
    </w:p>
    <w:p w14:paraId="1978B51F" w14:textId="4D5A1E8F" w:rsidR="00A60C6C" w:rsidRDefault="009F6658" w:rsidP="00DB1AD8">
      <w:pPr>
        <w:pBdr>
          <w:bottom w:val="single" w:sz="6" w:space="0" w:color="auto"/>
        </w:pBdr>
        <w:jc w:val="both"/>
        <w:rPr>
          <w:rFonts w:ascii="Garamond" w:hAnsi="Garamond"/>
          <w:sz w:val="24"/>
          <w:szCs w:val="24"/>
          <w:lang w:val="en-US"/>
        </w:rPr>
      </w:pPr>
      <w:r w:rsidRPr="00297C7D">
        <w:rPr>
          <w:rFonts w:ascii="Garamond" w:hAnsi="Garamond"/>
          <w:sz w:val="24"/>
          <w:szCs w:val="24"/>
        </w:rPr>
        <w:t>A detailed description of your research method does not need to be written in this section, but if you feel it is necessary, you can briefly mention it in a sentence or two. A little description of the flow of your discussion and the expected end result would be a good point to close this introductory section.</w:t>
      </w:r>
    </w:p>
    <w:p w14:paraId="46C93469" w14:textId="7518E9A0" w:rsidR="00A60C6C" w:rsidRDefault="00D35D90" w:rsidP="00DB1AD8">
      <w:pPr>
        <w:pBdr>
          <w:bottom w:val="single" w:sz="6" w:space="0" w:color="auto"/>
        </w:pBdr>
        <w:jc w:val="both"/>
        <w:rPr>
          <w:rFonts w:ascii="Garamond" w:hAnsi="Garamond"/>
          <w:b/>
          <w:sz w:val="28"/>
          <w:szCs w:val="28"/>
          <w:lang w:val="en-GB"/>
        </w:rPr>
      </w:pPr>
      <w:r>
        <w:rPr>
          <w:rFonts w:ascii="Garamond" w:hAnsi="Garamond"/>
          <w:b/>
          <w:sz w:val="28"/>
          <w:szCs w:val="28"/>
        </w:rPr>
        <w:t xml:space="preserve">C. </w:t>
      </w:r>
      <w:r w:rsidR="009F6658" w:rsidRPr="00297C7D">
        <w:rPr>
          <w:rFonts w:ascii="Garamond" w:hAnsi="Garamond"/>
          <w:b/>
          <w:sz w:val="28"/>
          <w:szCs w:val="28"/>
        </w:rPr>
        <w:t>Results and Discussion (Garamond Typed in Bold, Font Size 14 Pt)</w:t>
      </w:r>
    </w:p>
    <w:p w14:paraId="2FEC8B4B" w14:textId="77777777" w:rsidR="009F6658" w:rsidRDefault="009F6658" w:rsidP="00DB1AD8">
      <w:pPr>
        <w:widowControl w:val="0"/>
        <w:pBdr>
          <w:bottom w:val="single" w:sz="6" w:space="0" w:color="auto"/>
        </w:pBdr>
        <w:jc w:val="both"/>
        <w:rPr>
          <w:rFonts w:ascii="Garamond" w:hAnsi="Garamond"/>
          <w:sz w:val="24"/>
          <w:szCs w:val="24"/>
          <w:lang w:val="en-US"/>
        </w:rPr>
      </w:pPr>
      <w:r w:rsidRPr="00297C7D">
        <w:rPr>
          <w:rFonts w:ascii="Garamond" w:hAnsi="Garamond"/>
          <w:sz w:val="24"/>
          <w:szCs w:val="24"/>
        </w:rPr>
        <w:t>The results and the discussion should be written in the same section. Both must be presented continuously, starting from the main results to the supporting results, and complemented by discussions. Images and Tables (if any) should be placed in the same section and should be actively edited by the editor. Here, you can discuss each aspect of the problem individually. It is important to build an argument and provide original data that can be discussed and compared with the research and work of other scholars. In other words, the way to discuss an issue here is to combine data and discussion. So, it is not recommended to simply separate the description of the data from its analysis. Each quote is written in a specific way that can be identified as a "quote" that is different from your original text. At the end of each citation, you must list the reference in the Table of Contents, in accordance with the 17th Edition of the Chicago Manual of Style, using the Reference Manager Tool from Zotero or Mendeley.</w:t>
      </w:r>
    </w:p>
    <w:p w14:paraId="54002F05" w14:textId="77777777" w:rsidR="00DE4293" w:rsidRDefault="00DE4293" w:rsidP="00DB1AD8">
      <w:pPr>
        <w:pStyle w:val="BodyText21"/>
        <w:spacing w:before="0"/>
        <w:jc w:val="both"/>
        <w:rPr>
          <w:rFonts w:ascii="Garamond" w:hAnsi="Garamond"/>
          <w:sz w:val="24"/>
          <w:szCs w:val="24"/>
          <w:lang w:val="en-GB"/>
        </w:rPr>
      </w:pPr>
    </w:p>
    <w:p w14:paraId="59A8DC5C" w14:textId="21B51A31" w:rsidR="009F6658" w:rsidRPr="009F6658" w:rsidRDefault="0014073E" w:rsidP="00DB1AD8">
      <w:pPr>
        <w:pStyle w:val="BodyText21"/>
        <w:spacing w:before="0"/>
        <w:jc w:val="both"/>
        <w:rPr>
          <w:rFonts w:ascii="Garamond" w:hAnsi="Garamond"/>
          <w:b w:val="0"/>
          <w:bCs w:val="0"/>
          <w:sz w:val="24"/>
          <w:szCs w:val="24"/>
          <w:lang w:val="en-US"/>
        </w:rPr>
      </w:pPr>
      <w:r>
        <w:rPr>
          <w:rFonts w:ascii="Garamond" w:hAnsi="Garamond"/>
          <w:sz w:val="24"/>
          <w:szCs w:val="24"/>
        </w:rPr>
        <w:t xml:space="preserve">1. </w:t>
      </w:r>
      <w:r w:rsidR="009F6658" w:rsidRPr="00D506BE">
        <w:rPr>
          <w:rFonts w:ascii="Garamond" w:hAnsi="Garamond"/>
          <w:sz w:val="24"/>
          <w:szCs w:val="24"/>
        </w:rPr>
        <w:t>Subtitle of discussion 1 (Garamond Typed in Bold, Font Size 12 Pt)</w:t>
      </w:r>
    </w:p>
    <w:p w14:paraId="3E1A9FBF" w14:textId="77777777" w:rsidR="00297C7D" w:rsidRPr="00D506BE" w:rsidRDefault="00A13228" w:rsidP="00DB1AD8">
      <w:pPr>
        <w:pStyle w:val="BodyText21"/>
        <w:spacing w:before="0"/>
        <w:jc w:val="both"/>
        <w:rPr>
          <w:rFonts w:ascii="Garamond" w:hAnsi="Garamond"/>
          <w:b w:val="0"/>
          <w:bCs w:val="0"/>
          <w:sz w:val="24"/>
          <w:szCs w:val="24"/>
          <w:lang w:val="en-US"/>
        </w:rPr>
      </w:pPr>
      <w:r w:rsidRPr="00A13228">
        <w:rPr>
          <w:rFonts w:ascii="Garamond" w:hAnsi="Garamond"/>
          <w:b w:val="0"/>
          <w:bCs w:val="0"/>
          <w:sz w:val="24"/>
          <w:szCs w:val="24"/>
        </w:rPr>
        <w:lastRenderedPageBreak/>
        <w:t>The following are the main titles that should be included in the manuscript when it is compiled. The separation between the main heading, subheading, and sub-subheading should be numbered in the manuscript with the following example. The subheading of discussion 1 is the answer to the first question.</w:t>
      </w:r>
    </w:p>
    <w:p w14:paraId="1E6F3290" w14:textId="77777777" w:rsidR="00297C7D" w:rsidRPr="009F6658" w:rsidRDefault="00297C7D" w:rsidP="00DB1AD8">
      <w:pPr>
        <w:pStyle w:val="BodyText21"/>
        <w:spacing w:before="0"/>
        <w:jc w:val="both"/>
        <w:rPr>
          <w:rFonts w:ascii="Garamond" w:hAnsi="Garamond"/>
          <w:b w:val="0"/>
          <w:bCs w:val="0"/>
          <w:sz w:val="24"/>
          <w:szCs w:val="24"/>
          <w:lang w:val="en-US"/>
        </w:rPr>
      </w:pPr>
    </w:p>
    <w:p w14:paraId="2AF37F6D" w14:textId="46B7914D" w:rsidR="009F6658" w:rsidRDefault="0014073E" w:rsidP="00DB1AD8">
      <w:pPr>
        <w:pStyle w:val="BodyText21"/>
        <w:spacing w:before="0"/>
        <w:jc w:val="both"/>
        <w:rPr>
          <w:rFonts w:ascii="Garamond" w:hAnsi="Garamond"/>
          <w:b w:val="0"/>
          <w:bCs w:val="0"/>
          <w:sz w:val="24"/>
          <w:szCs w:val="24"/>
          <w:lang w:val="en-US"/>
        </w:rPr>
      </w:pPr>
      <w:r>
        <w:rPr>
          <w:rFonts w:ascii="Garamond" w:hAnsi="Garamond"/>
          <w:sz w:val="24"/>
          <w:szCs w:val="24"/>
        </w:rPr>
        <w:t xml:space="preserve">2. </w:t>
      </w:r>
      <w:r w:rsidR="009F6658" w:rsidRPr="00D506BE">
        <w:rPr>
          <w:rFonts w:ascii="Garamond" w:hAnsi="Garamond"/>
          <w:sz w:val="24"/>
          <w:szCs w:val="24"/>
        </w:rPr>
        <w:t>Subtitle of discussion 2 (Garamond typed in bold, font size 12 pt)</w:t>
      </w:r>
    </w:p>
    <w:p w14:paraId="5A6C4C84" w14:textId="77777777" w:rsidR="00D506BE" w:rsidRDefault="00D506BE" w:rsidP="00DB1AD8">
      <w:pPr>
        <w:pStyle w:val="BodyText21"/>
        <w:spacing w:before="0"/>
        <w:jc w:val="both"/>
        <w:rPr>
          <w:rFonts w:ascii="Garamond" w:hAnsi="Garamond"/>
          <w:b w:val="0"/>
          <w:bCs w:val="0"/>
          <w:sz w:val="24"/>
          <w:szCs w:val="24"/>
          <w:lang w:val="en-US"/>
        </w:rPr>
      </w:pPr>
      <w:r w:rsidRPr="009F6658">
        <w:rPr>
          <w:rFonts w:ascii="Garamond" w:hAnsi="Garamond"/>
          <w:b w:val="0"/>
          <w:bCs w:val="0"/>
          <w:sz w:val="24"/>
          <w:szCs w:val="24"/>
        </w:rPr>
        <w:t>The subheading of discussion 2 is the answer to the second question.</w:t>
      </w:r>
    </w:p>
    <w:p w14:paraId="07C04E94" w14:textId="77777777" w:rsidR="00D506BE" w:rsidRDefault="00D506BE" w:rsidP="00DB1AD8">
      <w:pPr>
        <w:pStyle w:val="BodyText21"/>
        <w:spacing w:before="0"/>
        <w:jc w:val="both"/>
        <w:rPr>
          <w:rFonts w:ascii="Garamond" w:hAnsi="Garamond"/>
          <w:b w:val="0"/>
          <w:bCs w:val="0"/>
          <w:sz w:val="24"/>
          <w:szCs w:val="24"/>
          <w:lang w:val="en-US"/>
        </w:rPr>
      </w:pPr>
    </w:p>
    <w:p w14:paraId="77934972" w14:textId="34ACC238" w:rsidR="00D506BE" w:rsidRDefault="0014073E" w:rsidP="00DB1AD8">
      <w:pPr>
        <w:pStyle w:val="BodyText21"/>
        <w:spacing w:before="0"/>
        <w:jc w:val="both"/>
        <w:rPr>
          <w:rFonts w:ascii="Garamond" w:hAnsi="Garamond"/>
          <w:b w:val="0"/>
          <w:bCs w:val="0"/>
          <w:sz w:val="24"/>
          <w:szCs w:val="24"/>
          <w:lang w:val="en-US"/>
        </w:rPr>
      </w:pPr>
      <w:r>
        <w:rPr>
          <w:rFonts w:ascii="Garamond" w:hAnsi="Garamond"/>
          <w:sz w:val="24"/>
          <w:szCs w:val="24"/>
        </w:rPr>
        <w:t xml:space="preserve">3. </w:t>
      </w:r>
      <w:r w:rsidR="00D506BE" w:rsidRPr="00D506BE">
        <w:rPr>
          <w:rFonts w:ascii="Garamond" w:hAnsi="Garamond"/>
          <w:sz w:val="24"/>
          <w:szCs w:val="24"/>
        </w:rPr>
        <w:t>Subtitle of discussion 3 (Garamond typed in bold, font size 12 pt)</w:t>
      </w:r>
    </w:p>
    <w:p w14:paraId="687597C4" w14:textId="77777777" w:rsidR="00D506BE" w:rsidRDefault="00D506BE" w:rsidP="00DB1AD8">
      <w:pPr>
        <w:pStyle w:val="BodyText21"/>
        <w:spacing w:before="0"/>
        <w:jc w:val="both"/>
        <w:rPr>
          <w:rFonts w:ascii="Garamond" w:hAnsi="Garamond"/>
          <w:b w:val="0"/>
          <w:bCs w:val="0"/>
          <w:sz w:val="24"/>
          <w:szCs w:val="24"/>
          <w:lang w:val="en-US"/>
        </w:rPr>
      </w:pPr>
      <w:r w:rsidRPr="009F6658">
        <w:rPr>
          <w:rFonts w:ascii="Garamond" w:hAnsi="Garamond"/>
          <w:b w:val="0"/>
          <w:bCs w:val="0"/>
          <w:sz w:val="24"/>
          <w:szCs w:val="24"/>
        </w:rPr>
        <w:t>The subheading of discussion 3 is the answer to the third question.</w:t>
      </w:r>
    </w:p>
    <w:p w14:paraId="0E560010" w14:textId="77777777" w:rsidR="006C3778" w:rsidRPr="00297C7D" w:rsidRDefault="006C3778" w:rsidP="00DB1AD8">
      <w:pPr>
        <w:spacing w:after="0" w:line="260" w:lineRule="atLeast"/>
        <w:jc w:val="both"/>
        <w:rPr>
          <w:rFonts w:ascii="Garamond" w:hAnsi="Garamond"/>
          <w:sz w:val="24"/>
          <w:szCs w:val="24"/>
          <w:lang w:val="en-GB"/>
        </w:rPr>
      </w:pPr>
    </w:p>
    <w:p w14:paraId="0A7132E1" w14:textId="77777777" w:rsidR="00BB3AEB" w:rsidRPr="0014073E" w:rsidRDefault="00BB3AEB" w:rsidP="00DB1AD8">
      <w:pPr>
        <w:spacing w:after="0" w:line="360" w:lineRule="auto"/>
        <w:jc w:val="both"/>
        <w:rPr>
          <w:rFonts w:ascii="Garamond" w:hAnsi="Garamond"/>
          <w:b/>
          <w:sz w:val="24"/>
          <w:szCs w:val="24"/>
          <w:lang w:val="en-US"/>
        </w:rPr>
      </w:pPr>
      <w:r w:rsidRPr="0014073E">
        <w:rPr>
          <w:rFonts w:ascii="Garamond" w:hAnsi="Garamond"/>
          <w:b/>
          <w:sz w:val="24"/>
          <w:szCs w:val="24"/>
        </w:rPr>
        <w:t>Table</w:t>
      </w:r>
    </w:p>
    <w:p w14:paraId="33B98AE0" w14:textId="77777777" w:rsidR="00D506BE" w:rsidRDefault="00D506BE" w:rsidP="00DB1AD8">
      <w:pPr>
        <w:pStyle w:val="NormalWeb"/>
        <w:spacing w:before="0" w:beforeAutospacing="0" w:after="0" w:afterAutospacing="0"/>
        <w:jc w:val="both"/>
        <w:rPr>
          <w:rFonts w:ascii="Garamond" w:hAnsi="Garamond"/>
          <w:lang w:val="en-US"/>
        </w:rPr>
      </w:pPr>
      <w:r w:rsidRPr="00D506BE">
        <w:rPr>
          <w:rFonts w:ascii="Garamond" w:hAnsi="Garamond"/>
        </w:rPr>
        <w:t>Tables should be numbered in the order in which they appear in the text. Avoid vertical restrictions. Use the table sparingly, and make sure that the information contained does not repeat the findings discussed in the article. Here are some examples of ministries listed in table 1.</w:t>
      </w:r>
    </w:p>
    <w:p w14:paraId="7011827F" w14:textId="77777777" w:rsidR="00D506BE" w:rsidRDefault="00D506BE" w:rsidP="00D506BE">
      <w:pPr>
        <w:pStyle w:val="NormalWeb"/>
        <w:spacing w:before="0" w:beforeAutospacing="0" w:after="0" w:afterAutospacing="0"/>
        <w:jc w:val="both"/>
        <w:rPr>
          <w:rFonts w:ascii="Garamond" w:hAnsi="Garamond"/>
          <w:lang w:val="en-US"/>
        </w:rPr>
      </w:pPr>
    </w:p>
    <w:p w14:paraId="6AC83B25" w14:textId="77777777" w:rsidR="00BB3AEB" w:rsidRPr="00D264C5" w:rsidRDefault="00BB3AEB" w:rsidP="00AD5B41">
      <w:pPr>
        <w:pStyle w:val="NormalWeb"/>
        <w:spacing w:before="0" w:beforeAutospacing="0" w:after="0" w:afterAutospacing="0" w:line="360" w:lineRule="auto"/>
        <w:rPr>
          <w:rFonts w:ascii="Garamond" w:hAnsi="Garamond"/>
          <w:lang w:val="en-US"/>
        </w:rPr>
      </w:pPr>
      <w:r w:rsidRPr="00D264C5">
        <w:rPr>
          <w:rFonts w:ascii="Garamond" w:hAnsi="Garamond"/>
          <w:b/>
        </w:rPr>
        <w:t>Table 1.</w:t>
      </w:r>
      <w:r w:rsidRPr="00D264C5">
        <w:rPr>
          <w:rFonts w:ascii="Garamond" w:hAnsi="Garamond"/>
        </w:rPr>
        <w:t>Title</w:t>
      </w:r>
    </w:p>
    <w:tbl>
      <w:tblPr>
        <w:tblW w:w="9072" w:type="dxa"/>
        <w:tblLayout w:type="fixed"/>
        <w:tblLook w:val="0400" w:firstRow="0" w:lastRow="0" w:firstColumn="0" w:lastColumn="0" w:noHBand="0" w:noVBand="1"/>
      </w:tblPr>
      <w:tblGrid>
        <w:gridCol w:w="577"/>
        <w:gridCol w:w="2259"/>
        <w:gridCol w:w="6236"/>
      </w:tblGrid>
      <w:tr w:rsidR="00D264C5" w:rsidRPr="00D264C5" w14:paraId="74256F64" w14:textId="77777777" w:rsidTr="00091504">
        <w:tc>
          <w:tcPr>
            <w:tcW w:w="577" w:type="dxa"/>
            <w:tcBorders>
              <w:top w:val="single" w:sz="4" w:space="0" w:color="000000"/>
              <w:bottom w:val="single" w:sz="4" w:space="0" w:color="000000"/>
            </w:tcBorders>
          </w:tcPr>
          <w:p w14:paraId="1E91E1C5" w14:textId="7D1B06E1" w:rsidR="00D264C5" w:rsidRPr="00D264C5" w:rsidRDefault="009267D7" w:rsidP="00091504">
            <w:pPr>
              <w:pBdr>
                <w:top w:val="nil"/>
                <w:left w:val="nil"/>
                <w:bottom w:val="nil"/>
                <w:right w:val="nil"/>
                <w:between w:val="nil"/>
              </w:pBdr>
              <w:spacing w:after="0" w:line="240" w:lineRule="auto"/>
              <w:ind w:hanging="2"/>
              <w:jc w:val="center"/>
              <w:rPr>
                <w:rFonts w:ascii="Garamond" w:eastAsia="Junicode" w:hAnsi="Garamond" w:cs="Junicode"/>
                <w:b/>
                <w:color w:val="000000"/>
              </w:rPr>
            </w:pPr>
            <w:r>
              <w:rPr>
                <w:rFonts w:ascii="Garamond" w:eastAsia="Junicode" w:hAnsi="Garamond" w:cs="Junicode"/>
                <w:b/>
                <w:color w:val="000000"/>
              </w:rPr>
              <w:t>No.</w:t>
            </w:r>
          </w:p>
        </w:tc>
        <w:tc>
          <w:tcPr>
            <w:tcW w:w="2259" w:type="dxa"/>
            <w:tcBorders>
              <w:top w:val="single" w:sz="4" w:space="0" w:color="000000"/>
              <w:bottom w:val="single" w:sz="4" w:space="0" w:color="000000"/>
            </w:tcBorders>
          </w:tcPr>
          <w:p w14:paraId="5D8F089F" w14:textId="77777777" w:rsidR="00D264C5" w:rsidRPr="00D264C5" w:rsidRDefault="00D264C5" w:rsidP="00091504">
            <w:pPr>
              <w:pBdr>
                <w:top w:val="nil"/>
                <w:left w:val="nil"/>
                <w:bottom w:val="nil"/>
                <w:right w:val="nil"/>
                <w:between w:val="nil"/>
              </w:pBdr>
              <w:spacing w:after="0" w:line="240" w:lineRule="auto"/>
              <w:ind w:hanging="2"/>
              <w:jc w:val="center"/>
              <w:rPr>
                <w:rFonts w:ascii="Garamond" w:eastAsia="Junicode" w:hAnsi="Garamond" w:cs="Junicode"/>
                <w:b/>
                <w:color w:val="000000"/>
              </w:rPr>
            </w:pPr>
            <w:r w:rsidRPr="00D264C5">
              <w:rPr>
                <w:rFonts w:ascii="Garamond" w:eastAsia="Junicode" w:hAnsi="Garamond" w:cs="Junicode"/>
                <w:b/>
                <w:color w:val="000000"/>
              </w:rPr>
              <w:t>Ministry</w:t>
            </w:r>
          </w:p>
        </w:tc>
        <w:tc>
          <w:tcPr>
            <w:tcW w:w="6236" w:type="dxa"/>
            <w:tcBorders>
              <w:top w:val="single" w:sz="4" w:space="0" w:color="000000"/>
              <w:bottom w:val="single" w:sz="4" w:space="0" w:color="000000"/>
            </w:tcBorders>
          </w:tcPr>
          <w:p w14:paraId="534AB598" w14:textId="77777777" w:rsidR="00D264C5" w:rsidRPr="00D264C5" w:rsidRDefault="00D264C5" w:rsidP="00091504">
            <w:pPr>
              <w:pBdr>
                <w:top w:val="nil"/>
                <w:left w:val="nil"/>
                <w:bottom w:val="nil"/>
                <w:right w:val="nil"/>
                <w:between w:val="nil"/>
              </w:pBdr>
              <w:spacing w:after="0" w:line="240" w:lineRule="auto"/>
              <w:ind w:hanging="2"/>
              <w:jc w:val="center"/>
              <w:rPr>
                <w:rFonts w:ascii="Garamond" w:eastAsia="Junicode" w:hAnsi="Garamond" w:cs="Junicode"/>
                <w:b/>
                <w:color w:val="000000"/>
              </w:rPr>
            </w:pPr>
            <w:r w:rsidRPr="00D264C5">
              <w:rPr>
                <w:rFonts w:ascii="Garamond" w:eastAsia="Junicode" w:hAnsi="Garamond" w:cs="Junicode"/>
                <w:b/>
                <w:color w:val="000000"/>
              </w:rPr>
              <w:t>Law</w:t>
            </w:r>
          </w:p>
        </w:tc>
      </w:tr>
      <w:tr w:rsidR="00D264C5" w:rsidRPr="00D264C5" w14:paraId="4A8325A0" w14:textId="77777777" w:rsidTr="00091504">
        <w:tc>
          <w:tcPr>
            <w:tcW w:w="577" w:type="dxa"/>
            <w:tcBorders>
              <w:top w:val="single" w:sz="4" w:space="0" w:color="000000"/>
            </w:tcBorders>
          </w:tcPr>
          <w:p w14:paraId="5B2F541A" w14:textId="77777777" w:rsidR="00D264C5" w:rsidRPr="00D264C5" w:rsidRDefault="00D264C5" w:rsidP="00091504">
            <w:pPr>
              <w:pBdr>
                <w:top w:val="nil"/>
                <w:left w:val="nil"/>
                <w:bottom w:val="nil"/>
                <w:right w:val="nil"/>
                <w:between w:val="nil"/>
              </w:pBdr>
              <w:spacing w:line="240" w:lineRule="auto"/>
              <w:ind w:hanging="2"/>
              <w:jc w:val="center"/>
              <w:rPr>
                <w:rFonts w:ascii="Garamond" w:eastAsia="Junicode" w:hAnsi="Garamond" w:cs="Junicode"/>
                <w:color w:val="000000"/>
              </w:rPr>
            </w:pPr>
            <w:r w:rsidRPr="00D264C5">
              <w:rPr>
                <w:rFonts w:ascii="Garamond" w:eastAsia="Junicode" w:hAnsi="Garamond" w:cs="Junicode"/>
                <w:color w:val="000000"/>
              </w:rPr>
              <w:t>1</w:t>
            </w:r>
          </w:p>
        </w:tc>
        <w:tc>
          <w:tcPr>
            <w:tcW w:w="2259" w:type="dxa"/>
            <w:tcBorders>
              <w:top w:val="single" w:sz="4" w:space="0" w:color="000000"/>
            </w:tcBorders>
          </w:tcPr>
          <w:p w14:paraId="41BA3E30" w14:textId="77777777" w:rsidR="00D264C5" w:rsidRPr="00D264C5" w:rsidRDefault="00D264C5" w:rsidP="00091504">
            <w:pPr>
              <w:pBdr>
                <w:top w:val="nil"/>
                <w:left w:val="nil"/>
                <w:bottom w:val="nil"/>
                <w:right w:val="nil"/>
                <w:between w:val="nil"/>
              </w:pBdr>
              <w:spacing w:line="240" w:lineRule="auto"/>
              <w:ind w:hanging="2"/>
              <w:rPr>
                <w:rFonts w:ascii="Garamond" w:eastAsia="Junicode" w:hAnsi="Garamond" w:cs="Junicode"/>
                <w:color w:val="000000"/>
              </w:rPr>
            </w:pPr>
            <w:r w:rsidRPr="00D264C5">
              <w:rPr>
                <w:rFonts w:ascii="Garamond" w:eastAsia="Junicode" w:hAnsi="Garamond" w:cs="Junicode"/>
                <w:color w:val="000000"/>
              </w:rPr>
              <w:t>Ministry of Defense</w:t>
            </w:r>
          </w:p>
        </w:tc>
        <w:tc>
          <w:tcPr>
            <w:tcW w:w="6236" w:type="dxa"/>
            <w:tcBorders>
              <w:top w:val="single" w:sz="4" w:space="0" w:color="000000"/>
            </w:tcBorders>
          </w:tcPr>
          <w:p w14:paraId="20F0A1FD" w14:textId="77777777" w:rsidR="00D264C5" w:rsidRPr="00D264C5" w:rsidRDefault="00D264C5" w:rsidP="00091504">
            <w:pPr>
              <w:pBdr>
                <w:top w:val="nil"/>
                <w:left w:val="nil"/>
                <w:bottom w:val="nil"/>
                <w:right w:val="nil"/>
                <w:between w:val="nil"/>
              </w:pBdr>
              <w:spacing w:line="240" w:lineRule="auto"/>
              <w:ind w:hanging="2"/>
              <w:jc w:val="both"/>
              <w:rPr>
                <w:rFonts w:ascii="Garamond" w:eastAsia="Junicode" w:hAnsi="Garamond" w:cs="Junicode"/>
                <w:color w:val="000000"/>
              </w:rPr>
            </w:pPr>
            <w:r w:rsidRPr="00D264C5">
              <w:rPr>
                <w:rFonts w:ascii="Garamond" w:eastAsia="Junicode" w:hAnsi="Garamond" w:cs="Junicode"/>
                <w:color w:val="000000"/>
              </w:rPr>
              <w:t>Civil Reserve Law 56/1999, Defense Law 3/2002, and Defense Industry Law 16/2002.</w:t>
            </w:r>
          </w:p>
        </w:tc>
      </w:tr>
      <w:tr w:rsidR="00D264C5" w:rsidRPr="00D264C5" w14:paraId="5D18DFDF" w14:textId="77777777" w:rsidTr="00091504">
        <w:tc>
          <w:tcPr>
            <w:tcW w:w="577" w:type="dxa"/>
          </w:tcPr>
          <w:p w14:paraId="2447463D" w14:textId="77777777" w:rsidR="00D264C5" w:rsidRPr="00D264C5" w:rsidRDefault="00D264C5" w:rsidP="00091504">
            <w:pPr>
              <w:pBdr>
                <w:top w:val="nil"/>
                <w:left w:val="nil"/>
                <w:bottom w:val="nil"/>
                <w:right w:val="nil"/>
                <w:between w:val="nil"/>
              </w:pBdr>
              <w:spacing w:line="240" w:lineRule="auto"/>
              <w:ind w:hanging="2"/>
              <w:jc w:val="center"/>
              <w:rPr>
                <w:rFonts w:ascii="Garamond" w:eastAsia="Junicode" w:hAnsi="Garamond" w:cs="Junicode"/>
                <w:color w:val="000000"/>
              </w:rPr>
            </w:pPr>
            <w:r w:rsidRPr="00D264C5">
              <w:rPr>
                <w:rFonts w:ascii="Garamond" w:eastAsia="Junicode" w:hAnsi="Garamond" w:cs="Junicode"/>
                <w:color w:val="000000"/>
              </w:rPr>
              <w:t>2</w:t>
            </w:r>
          </w:p>
        </w:tc>
        <w:tc>
          <w:tcPr>
            <w:tcW w:w="2259" w:type="dxa"/>
          </w:tcPr>
          <w:p w14:paraId="5D5E6734" w14:textId="77777777" w:rsidR="00D264C5" w:rsidRPr="00D264C5" w:rsidRDefault="00D264C5" w:rsidP="00091504">
            <w:pPr>
              <w:pBdr>
                <w:top w:val="nil"/>
                <w:left w:val="nil"/>
                <w:bottom w:val="nil"/>
                <w:right w:val="nil"/>
                <w:between w:val="nil"/>
              </w:pBdr>
              <w:spacing w:line="240" w:lineRule="auto"/>
              <w:ind w:hanging="2"/>
              <w:rPr>
                <w:rFonts w:ascii="Garamond" w:eastAsia="Junicode" w:hAnsi="Garamond" w:cs="Junicode"/>
                <w:color w:val="000000"/>
              </w:rPr>
            </w:pPr>
            <w:r w:rsidRPr="00D264C5">
              <w:rPr>
                <w:rFonts w:ascii="Garamond" w:eastAsia="Junicode" w:hAnsi="Garamond" w:cs="Junicode"/>
                <w:color w:val="000000"/>
              </w:rPr>
              <w:t>Ministry of Foreign Affairs</w:t>
            </w:r>
          </w:p>
        </w:tc>
        <w:tc>
          <w:tcPr>
            <w:tcW w:w="6236" w:type="dxa"/>
          </w:tcPr>
          <w:p w14:paraId="09AA15F4" w14:textId="77777777" w:rsidR="00D264C5" w:rsidRPr="00D264C5" w:rsidRDefault="00D264C5" w:rsidP="00091504">
            <w:pPr>
              <w:pBdr>
                <w:top w:val="nil"/>
                <w:left w:val="nil"/>
                <w:bottom w:val="nil"/>
                <w:right w:val="nil"/>
                <w:between w:val="nil"/>
              </w:pBdr>
              <w:spacing w:line="240" w:lineRule="auto"/>
              <w:ind w:hanging="2"/>
              <w:jc w:val="both"/>
              <w:rPr>
                <w:rFonts w:ascii="Garamond" w:eastAsia="Junicode" w:hAnsi="Garamond" w:cs="Junicode"/>
                <w:color w:val="000000"/>
              </w:rPr>
            </w:pPr>
            <w:r w:rsidRPr="00D264C5">
              <w:rPr>
                <w:rFonts w:ascii="Garamond" w:eastAsia="Junicode" w:hAnsi="Garamond" w:cs="Junicode"/>
                <w:color w:val="000000"/>
              </w:rPr>
              <w:t xml:space="preserve">Law on International Relations 37/1999, Law on International Agreements 24/2000, Law on the Protection of Indonesian Workers Abroad 39/2004, and Law on Protocol 9/2010.    </w:t>
            </w:r>
          </w:p>
        </w:tc>
      </w:tr>
      <w:tr w:rsidR="00D264C5" w:rsidRPr="00D264C5" w14:paraId="589B8A5C" w14:textId="77777777" w:rsidTr="00091504">
        <w:tc>
          <w:tcPr>
            <w:tcW w:w="577" w:type="dxa"/>
          </w:tcPr>
          <w:p w14:paraId="1E514AA0" w14:textId="77777777" w:rsidR="00D264C5" w:rsidRPr="00D264C5" w:rsidRDefault="00D264C5" w:rsidP="00091504">
            <w:pPr>
              <w:pBdr>
                <w:top w:val="nil"/>
                <w:left w:val="nil"/>
                <w:bottom w:val="nil"/>
                <w:right w:val="nil"/>
                <w:between w:val="nil"/>
              </w:pBdr>
              <w:spacing w:line="240" w:lineRule="auto"/>
              <w:ind w:hanging="2"/>
              <w:jc w:val="center"/>
              <w:rPr>
                <w:rFonts w:ascii="Garamond" w:eastAsia="Junicode" w:hAnsi="Garamond" w:cs="Junicode"/>
                <w:color w:val="000000"/>
              </w:rPr>
            </w:pPr>
            <w:r w:rsidRPr="00D264C5">
              <w:rPr>
                <w:rFonts w:ascii="Garamond" w:eastAsia="Junicode" w:hAnsi="Garamond" w:cs="Junicode"/>
                <w:color w:val="000000"/>
              </w:rPr>
              <w:t>3</w:t>
            </w:r>
          </w:p>
        </w:tc>
        <w:tc>
          <w:tcPr>
            <w:tcW w:w="2259" w:type="dxa"/>
          </w:tcPr>
          <w:p w14:paraId="2FA8A315" w14:textId="77777777" w:rsidR="00D264C5" w:rsidRPr="00D264C5" w:rsidRDefault="00D264C5" w:rsidP="00091504">
            <w:pPr>
              <w:pBdr>
                <w:top w:val="nil"/>
                <w:left w:val="nil"/>
                <w:bottom w:val="nil"/>
                <w:right w:val="nil"/>
                <w:between w:val="nil"/>
              </w:pBdr>
              <w:spacing w:line="240" w:lineRule="auto"/>
              <w:ind w:hanging="2"/>
              <w:rPr>
                <w:rFonts w:ascii="Garamond" w:eastAsia="Junicode" w:hAnsi="Garamond" w:cs="Junicode"/>
                <w:color w:val="000000"/>
              </w:rPr>
            </w:pPr>
            <w:r w:rsidRPr="00D264C5">
              <w:rPr>
                <w:rFonts w:ascii="Garamond" w:eastAsia="Junicode" w:hAnsi="Garamond" w:cs="Junicode"/>
                <w:color w:val="000000"/>
              </w:rPr>
              <w:t>Ministry of Home Affairs</w:t>
            </w:r>
          </w:p>
        </w:tc>
        <w:tc>
          <w:tcPr>
            <w:tcW w:w="6236" w:type="dxa"/>
          </w:tcPr>
          <w:p w14:paraId="738536FD" w14:textId="77777777" w:rsidR="00D264C5" w:rsidRPr="00D264C5" w:rsidRDefault="00D264C5" w:rsidP="00091504">
            <w:pPr>
              <w:pBdr>
                <w:top w:val="nil"/>
                <w:left w:val="nil"/>
                <w:bottom w:val="nil"/>
                <w:right w:val="nil"/>
                <w:between w:val="nil"/>
              </w:pBdr>
              <w:spacing w:line="240" w:lineRule="auto"/>
              <w:ind w:hanging="2"/>
              <w:jc w:val="both"/>
              <w:rPr>
                <w:rFonts w:ascii="Garamond" w:eastAsia="Junicode" w:hAnsi="Garamond" w:cs="Junicode"/>
                <w:color w:val="000000"/>
              </w:rPr>
            </w:pPr>
            <w:r w:rsidRPr="00D264C5">
              <w:rPr>
                <w:rFonts w:ascii="Garamond" w:eastAsia="Junicode" w:hAnsi="Garamond" w:cs="Junicode"/>
                <w:color w:val="000000"/>
              </w:rPr>
              <w:t>Local Government Law 23/2014, Local Government Election Law 8/2015.</w:t>
            </w:r>
          </w:p>
        </w:tc>
      </w:tr>
      <w:tr w:rsidR="00D264C5" w:rsidRPr="00D264C5" w14:paraId="1F57A6A6" w14:textId="77777777" w:rsidTr="00091504">
        <w:tc>
          <w:tcPr>
            <w:tcW w:w="577" w:type="dxa"/>
            <w:tcBorders>
              <w:bottom w:val="single" w:sz="4" w:space="0" w:color="000000"/>
            </w:tcBorders>
          </w:tcPr>
          <w:p w14:paraId="6217CE67" w14:textId="77777777" w:rsidR="00D264C5" w:rsidRPr="00D264C5" w:rsidRDefault="00D264C5" w:rsidP="00091504">
            <w:pPr>
              <w:pBdr>
                <w:top w:val="nil"/>
                <w:left w:val="nil"/>
                <w:bottom w:val="nil"/>
                <w:right w:val="nil"/>
                <w:between w:val="nil"/>
              </w:pBdr>
              <w:spacing w:line="240" w:lineRule="auto"/>
              <w:ind w:hanging="2"/>
              <w:jc w:val="center"/>
              <w:rPr>
                <w:rFonts w:ascii="Garamond" w:eastAsia="Junicode" w:hAnsi="Garamond" w:cs="Junicode"/>
                <w:color w:val="000000"/>
              </w:rPr>
            </w:pPr>
            <w:r w:rsidRPr="00D264C5">
              <w:rPr>
                <w:rFonts w:ascii="Garamond" w:eastAsia="Junicode" w:hAnsi="Garamond" w:cs="Junicode"/>
                <w:color w:val="000000"/>
              </w:rPr>
              <w:t>4</w:t>
            </w:r>
          </w:p>
        </w:tc>
        <w:tc>
          <w:tcPr>
            <w:tcW w:w="2259" w:type="dxa"/>
            <w:tcBorders>
              <w:bottom w:val="single" w:sz="4" w:space="0" w:color="000000"/>
            </w:tcBorders>
          </w:tcPr>
          <w:p w14:paraId="46561D3C" w14:textId="77777777" w:rsidR="00D264C5" w:rsidRPr="00D264C5" w:rsidRDefault="00D264C5" w:rsidP="00091504">
            <w:pPr>
              <w:pBdr>
                <w:top w:val="nil"/>
                <w:left w:val="nil"/>
                <w:bottom w:val="nil"/>
                <w:right w:val="nil"/>
                <w:between w:val="nil"/>
              </w:pBdr>
              <w:spacing w:line="240" w:lineRule="auto"/>
              <w:ind w:hanging="2"/>
              <w:rPr>
                <w:rFonts w:ascii="Garamond" w:eastAsia="Junicode" w:hAnsi="Garamond" w:cs="Junicode"/>
                <w:color w:val="000000"/>
              </w:rPr>
            </w:pPr>
            <w:r w:rsidRPr="00D264C5">
              <w:rPr>
                <w:rFonts w:ascii="Garamond" w:eastAsia="Junicode" w:hAnsi="Garamond" w:cs="Junicode"/>
                <w:color w:val="000000"/>
              </w:rPr>
              <w:t>Ministry of Maritime Affairs and Fisheries</w:t>
            </w:r>
          </w:p>
        </w:tc>
        <w:tc>
          <w:tcPr>
            <w:tcW w:w="6236" w:type="dxa"/>
            <w:tcBorders>
              <w:bottom w:val="single" w:sz="4" w:space="0" w:color="000000"/>
            </w:tcBorders>
          </w:tcPr>
          <w:p w14:paraId="70AC5C23" w14:textId="77777777" w:rsidR="00D264C5" w:rsidRPr="00D264C5" w:rsidRDefault="00D264C5" w:rsidP="00091504">
            <w:pPr>
              <w:pBdr>
                <w:top w:val="nil"/>
                <w:left w:val="nil"/>
                <w:bottom w:val="nil"/>
                <w:right w:val="nil"/>
                <w:between w:val="nil"/>
              </w:pBdr>
              <w:spacing w:line="240" w:lineRule="auto"/>
              <w:ind w:hanging="2"/>
              <w:jc w:val="both"/>
              <w:rPr>
                <w:rFonts w:ascii="Garamond" w:eastAsia="Junicode" w:hAnsi="Garamond" w:cs="Junicode"/>
                <w:color w:val="000000"/>
              </w:rPr>
            </w:pPr>
            <w:r w:rsidRPr="00D264C5">
              <w:rPr>
                <w:rFonts w:ascii="Garamond" w:eastAsia="Junicode" w:hAnsi="Garamond" w:cs="Junicode"/>
                <w:color w:val="000000"/>
              </w:rPr>
              <w:t>Coastal Area and Small Islands Management Law 27/2007, Quarantine Law 16/1992, and Shipping Law 17/2008.</w:t>
            </w:r>
          </w:p>
        </w:tc>
      </w:tr>
    </w:tbl>
    <w:p w14:paraId="00A0F292" w14:textId="77777777" w:rsidR="005F4F99" w:rsidRDefault="005F4F99" w:rsidP="005F4F99">
      <w:pPr>
        <w:spacing w:after="0" w:line="240" w:lineRule="auto"/>
        <w:jc w:val="both"/>
        <w:rPr>
          <w:rFonts w:ascii="Garamond" w:hAnsi="Garamond"/>
          <w:b/>
          <w:bCs/>
          <w:sz w:val="24"/>
          <w:szCs w:val="24"/>
          <w:lang w:val="en-GB"/>
        </w:rPr>
      </w:pPr>
    </w:p>
    <w:p w14:paraId="39866A5C" w14:textId="10E3D2E9" w:rsidR="00D506BE" w:rsidRDefault="00D506BE" w:rsidP="00D506BE">
      <w:pPr>
        <w:pBdr>
          <w:top w:val="nil"/>
          <w:left w:val="nil"/>
          <w:bottom w:val="nil"/>
          <w:right w:val="nil"/>
          <w:between w:val="nil"/>
        </w:pBdr>
        <w:spacing w:after="14" w:line="240" w:lineRule="auto"/>
        <w:ind w:hanging="2"/>
        <w:jc w:val="both"/>
        <w:rPr>
          <w:rFonts w:ascii="Garamond" w:eastAsia="Book Antiqua" w:hAnsi="Garamond" w:cs="Book Antiqua"/>
          <w:sz w:val="24"/>
          <w:szCs w:val="24"/>
        </w:rPr>
      </w:pPr>
      <w:hyperlink w:anchor="bookmark=id.tyjcwt">
        <w:r w:rsidRPr="00D506BE">
          <w:rPr>
            <w:rFonts w:ascii="Garamond" w:eastAsia="Book Antiqua" w:hAnsi="Garamond" w:cs="Book Antiqua"/>
            <w:sz w:val="24"/>
            <w:szCs w:val="24"/>
          </w:rPr>
          <w:t>Table 1</w:t>
        </w:r>
      </w:hyperlink>
      <w:r w:rsidR="009267D7">
        <w:rPr>
          <w:rFonts w:ascii="Garamond" w:eastAsia="Book Antiqua" w:hAnsi="Garamond" w:cs="Book Antiqua"/>
          <w:sz w:val="24"/>
          <w:szCs w:val="24"/>
        </w:rPr>
        <w:t xml:space="preserve"> This shows that many ministries are regulated in the law; for example, the law provides limits on how the government can change certain ministries. Because doing so would be against the rules, the government may not be able to dissolve or merge the ministries. A ministry subject to the law could be dissolved, which raises questions about how the law would be carried out without the relevant ministries. Therefore, it is imperative to thoroughly review all relevant laws on which the formation of such organizations are based while revising the structure of government institutions in Indonesia.</w:t>
      </w:r>
    </w:p>
    <w:p w14:paraId="74AB2269" w14:textId="6F6F6B08" w:rsidR="00C80973" w:rsidRDefault="00C80973" w:rsidP="00D506BE">
      <w:pPr>
        <w:pBdr>
          <w:top w:val="nil"/>
          <w:left w:val="nil"/>
          <w:bottom w:val="nil"/>
          <w:right w:val="nil"/>
          <w:between w:val="nil"/>
        </w:pBdr>
        <w:spacing w:after="14" w:line="240" w:lineRule="auto"/>
        <w:ind w:hanging="2"/>
        <w:jc w:val="both"/>
        <w:rPr>
          <w:rFonts w:ascii="Garamond" w:eastAsia="Book Antiqua" w:hAnsi="Garamond" w:cs="Book Antiqua"/>
          <w:sz w:val="24"/>
          <w:szCs w:val="24"/>
        </w:rPr>
      </w:pPr>
    </w:p>
    <w:p w14:paraId="64541D63" w14:textId="6EFB2DA9" w:rsidR="00A13228" w:rsidRPr="00B74EC4" w:rsidRDefault="0002604E" w:rsidP="00B74EC4">
      <w:pPr>
        <w:spacing w:after="0" w:line="360" w:lineRule="auto"/>
        <w:rPr>
          <w:rFonts w:ascii="Garamond" w:hAnsi="Garamond"/>
          <w:b/>
          <w:sz w:val="28"/>
          <w:szCs w:val="28"/>
          <w:lang w:val="en-US"/>
        </w:rPr>
      </w:pPr>
      <w:r>
        <w:rPr>
          <w:rFonts w:ascii="Garamond" w:hAnsi="Garamond"/>
          <w:b/>
          <w:sz w:val="28"/>
          <w:szCs w:val="28"/>
        </w:rPr>
        <w:t>D</w:t>
      </w:r>
      <w:r w:rsidR="00EB39B1">
        <w:rPr>
          <w:rFonts w:ascii="Garamond" w:hAnsi="Garamond"/>
          <w:b/>
          <w:sz w:val="28"/>
          <w:szCs w:val="28"/>
        </w:rPr>
        <w:t xml:space="preserve">. </w:t>
      </w:r>
      <w:r w:rsidR="00A13228" w:rsidRPr="00B74EC4">
        <w:rPr>
          <w:rFonts w:ascii="Garamond" w:hAnsi="Garamond"/>
          <w:b/>
          <w:sz w:val="28"/>
          <w:szCs w:val="28"/>
        </w:rPr>
        <w:t>Conclusion</w:t>
      </w:r>
    </w:p>
    <w:p w14:paraId="09F859ED" w14:textId="77777777" w:rsidR="00A13228" w:rsidRDefault="00D506BE" w:rsidP="00A13228">
      <w:pPr>
        <w:spacing w:after="0" w:line="260" w:lineRule="atLeast"/>
        <w:jc w:val="both"/>
        <w:rPr>
          <w:rFonts w:ascii="Garamond" w:hAnsi="Garamond"/>
          <w:sz w:val="24"/>
          <w:szCs w:val="24"/>
        </w:rPr>
      </w:pPr>
      <w:r w:rsidRPr="00D506BE">
        <w:rPr>
          <w:rFonts w:ascii="Garamond" w:hAnsi="Garamond"/>
          <w:sz w:val="24"/>
          <w:szCs w:val="24"/>
        </w:rPr>
        <w:t>The conclusion contains a description that must answer the purpose of the research. Don't repeat the Abstract or just outline the results of the research. Provide a clear explanation of possible implementation and/or suggestions related to the research findings.</w:t>
      </w:r>
    </w:p>
    <w:p w14:paraId="68D70108" w14:textId="77777777" w:rsidR="000D1333" w:rsidRDefault="000D1333" w:rsidP="00A13228">
      <w:pPr>
        <w:spacing w:after="0" w:line="260" w:lineRule="atLeast"/>
        <w:jc w:val="both"/>
        <w:rPr>
          <w:rFonts w:ascii="Garamond" w:hAnsi="Garamond"/>
          <w:sz w:val="24"/>
          <w:szCs w:val="24"/>
        </w:rPr>
      </w:pPr>
    </w:p>
    <w:p w14:paraId="179E8F59" w14:textId="77777777" w:rsidR="00A13228" w:rsidRDefault="00A13228" w:rsidP="005F4F99">
      <w:pPr>
        <w:spacing w:after="0" w:line="240" w:lineRule="auto"/>
        <w:jc w:val="both"/>
        <w:rPr>
          <w:rFonts w:ascii="Garamond" w:hAnsi="Garamond"/>
          <w:bCs/>
          <w:color w:val="000000"/>
          <w:sz w:val="24"/>
          <w:szCs w:val="24"/>
          <w:lang w:val="en-GB"/>
        </w:rPr>
      </w:pPr>
    </w:p>
    <w:p w14:paraId="4ADD68DA" w14:textId="77777777" w:rsidR="0002604E" w:rsidRDefault="0002604E" w:rsidP="002263E6">
      <w:pPr>
        <w:spacing w:after="120" w:line="360" w:lineRule="auto"/>
        <w:jc w:val="center"/>
        <w:rPr>
          <w:rFonts w:ascii="Garamond" w:hAnsi="Garamond"/>
          <w:b/>
          <w:color w:val="000000"/>
          <w:sz w:val="28"/>
          <w:szCs w:val="28"/>
        </w:rPr>
      </w:pPr>
    </w:p>
    <w:p w14:paraId="44962775" w14:textId="35139239" w:rsidR="00EB39B1" w:rsidRDefault="00E24320" w:rsidP="002263E6">
      <w:pPr>
        <w:spacing w:after="120" w:line="360" w:lineRule="auto"/>
        <w:jc w:val="center"/>
        <w:rPr>
          <w:rFonts w:ascii="Garamond" w:hAnsi="Garamond"/>
          <w:b/>
          <w:color w:val="000000"/>
          <w:sz w:val="28"/>
          <w:szCs w:val="28"/>
        </w:rPr>
      </w:pPr>
      <w:r w:rsidRPr="00B96E30">
        <w:rPr>
          <w:rFonts w:ascii="Garamond" w:hAnsi="Garamond"/>
          <w:b/>
          <w:color w:val="000000"/>
          <w:sz w:val="28"/>
          <w:szCs w:val="28"/>
        </w:rPr>
        <w:lastRenderedPageBreak/>
        <w:t xml:space="preserve">Bibliography </w:t>
      </w:r>
    </w:p>
    <w:p w14:paraId="42E4F851" w14:textId="10270922" w:rsidR="002263E6" w:rsidRPr="00B96E30" w:rsidRDefault="00B96E30" w:rsidP="002263E6">
      <w:pPr>
        <w:spacing w:after="120" w:line="360" w:lineRule="auto"/>
        <w:jc w:val="center"/>
        <w:rPr>
          <w:rFonts w:ascii="Garamond" w:hAnsi="Garamond"/>
          <w:bCs/>
          <w:color w:val="000000"/>
          <w:sz w:val="28"/>
          <w:szCs w:val="28"/>
          <w:lang w:val="en-GB"/>
        </w:rPr>
      </w:pPr>
      <w:r w:rsidRPr="00297C7D">
        <w:rPr>
          <w:rFonts w:ascii="Garamond" w:hAnsi="Garamond"/>
          <w:b/>
          <w:sz w:val="28"/>
          <w:szCs w:val="28"/>
        </w:rPr>
        <w:t>(Garamond typed in bold, font size 14 pt, paragraph center style)</w:t>
      </w:r>
    </w:p>
    <w:p w14:paraId="6517109E" w14:textId="04A0F05F" w:rsidR="005F4F99" w:rsidRDefault="002263E6" w:rsidP="00B16F64">
      <w:pPr>
        <w:spacing w:after="120" w:line="360" w:lineRule="auto"/>
        <w:jc w:val="both"/>
        <w:rPr>
          <w:rFonts w:ascii="Garamond" w:hAnsi="Garamond"/>
          <w:bCs/>
          <w:color w:val="000000"/>
          <w:sz w:val="24"/>
          <w:szCs w:val="24"/>
          <w:lang w:val="en-GB"/>
        </w:rPr>
      </w:pPr>
      <w:r w:rsidRPr="002263E6">
        <w:rPr>
          <w:rFonts w:ascii="Garamond" w:hAnsi="Garamond"/>
          <w:bCs/>
          <w:color w:val="000000"/>
          <w:sz w:val="24"/>
          <w:szCs w:val="24"/>
        </w:rPr>
        <w:t xml:space="preserve">Citations should be in the form of in-text citations and bibliographies based on </w:t>
      </w:r>
      <w:r w:rsidR="00C80973">
        <w:rPr>
          <w:rFonts w:ascii="Garamond" w:hAnsi="Garamond"/>
          <w:sz w:val="24"/>
          <w:szCs w:val="24"/>
        </w:rPr>
        <w:t xml:space="preserve">the Chicago Manual of Style </w:t>
      </w:r>
      <w:r w:rsidRPr="002263E6">
        <w:rPr>
          <w:rFonts w:ascii="Garamond" w:hAnsi="Garamond"/>
          <w:bCs/>
          <w:color w:val="000000"/>
          <w:sz w:val="24"/>
          <w:szCs w:val="24"/>
        </w:rPr>
        <w:t>Format 17th full note edition, while using a table of contents model on the characteristics of each reference, such as:</w:t>
      </w:r>
    </w:p>
    <w:p w14:paraId="3E60F682" w14:textId="77777777" w:rsidR="005F4F99" w:rsidRPr="00297C7D" w:rsidRDefault="005F4F99" w:rsidP="00B16F64">
      <w:pPr>
        <w:widowControl w:val="0"/>
        <w:autoSpaceDE w:val="0"/>
        <w:autoSpaceDN w:val="0"/>
        <w:adjustRightInd w:val="0"/>
        <w:spacing w:after="120" w:line="240" w:lineRule="auto"/>
        <w:ind w:left="480" w:hanging="480"/>
        <w:jc w:val="both"/>
        <w:rPr>
          <w:rFonts w:ascii="Garamond" w:hAnsi="Garamond"/>
          <w:i/>
          <w:iCs/>
          <w:color w:val="000000"/>
          <w:sz w:val="24"/>
          <w:szCs w:val="24"/>
          <w:lang w:val="en-GB"/>
        </w:rPr>
      </w:pPr>
      <w:r w:rsidRPr="00297C7D">
        <w:rPr>
          <w:rFonts w:ascii="Garamond" w:hAnsi="Garamond"/>
          <w:i/>
          <w:iCs/>
          <w:color w:val="000000"/>
          <w:sz w:val="24"/>
          <w:szCs w:val="24"/>
        </w:rPr>
        <w:t>Example</w:t>
      </w:r>
    </w:p>
    <w:p w14:paraId="28DDA176" w14:textId="77777777" w:rsidR="00D8275D" w:rsidRPr="00D8275D" w:rsidRDefault="005F4F99" w:rsidP="00D8275D">
      <w:pPr>
        <w:tabs>
          <w:tab w:val="left" w:pos="426"/>
        </w:tabs>
        <w:spacing w:after="120" w:line="240" w:lineRule="auto"/>
        <w:jc w:val="both"/>
        <w:rPr>
          <w:rFonts w:ascii="Garamond" w:hAnsi="Garamond"/>
          <w:b/>
          <w:bCs/>
          <w:color w:val="000000"/>
          <w:sz w:val="24"/>
          <w:szCs w:val="24"/>
          <w:lang w:val="en-GB"/>
        </w:rPr>
      </w:pPr>
      <w:r w:rsidRPr="00297C7D">
        <w:rPr>
          <w:rFonts w:ascii="Garamond" w:hAnsi="Garamond"/>
          <w:b/>
          <w:bCs/>
          <w:color w:val="000000"/>
          <w:sz w:val="24"/>
          <w:szCs w:val="24"/>
        </w:rPr>
        <w:t>Journal Article References:</w:t>
      </w:r>
      <w:r w:rsidR="00D8275D">
        <w:rPr>
          <w:rFonts w:ascii="Garamond" w:hAnsi="Garamond"/>
          <w:color w:val="000000"/>
          <w:sz w:val="24"/>
          <w:szCs w:val="24"/>
        </w:rPr>
        <w:fldChar w:fldCharType="begin" w:fldLock="1"/>
      </w:r>
      <w:r w:rsidR="00D8275D">
        <w:rPr>
          <w:rFonts w:ascii="Garamond" w:hAnsi="Garamond"/>
          <w:color w:val="000000"/>
          <w:sz w:val="24"/>
          <w:szCs w:val="24"/>
        </w:rPr>
        <w:instrText xml:space="preserve">ADDIN Mendeley Bibliography CSL_BIBLIOGRAPHY </w:instrText>
      </w:r>
      <w:r w:rsidR="00D8275D">
        <w:rPr>
          <w:rFonts w:ascii="Garamond" w:hAnsi="Garamond"/>
          <w:color w:val="000000"/>
          <w:sz w:val="24"/>
          <w:szCs w:val="24"/>
        </w:rPr>
        <w:fldChar w:fldCharType="separate"/>
      </w:r>
    </w:p>
    <w:p w14:paraId="5987E33D" w14:textId="77777777" w:rsidR="00D8275D" w:rsidRPr="00D8275D" w:rsidRDefault="00D8275D" w:rsidP="00D8275D">
      <w:pPr>
        <w:widowControl w:val="0"/>
        <w:autoSpaceDE w:val="0"/>
        <w:autoSpaceDN w:val="0"/>
        <w:adjustRightInd w:val="0"/>
        <w:spacing w:after="120" w:line="240" w:lineRule="auto"/>
        <w:ind w:left="480" w:hanging="480"/>
        <w:rPr>
          <w:rFonts w:ascii="Garamond" w:hAnsi="Garamond"/>
          <w:noProof/>
          <w:sz w:val="24"/>
          <w:szCs w:val="24"/>
        </w:rPr>
      </w:pPr>
      <w:r w:rsidRPr="00D8275D">
        <w:rPr>
          <w:rFonts w:ascii="Garamond" w:hAnsi="Garamond"/>
          <w:noProof/>
          <w:sz w:val="24"/>
          <w:szCs w:val="24"/>
        </w:rPr>
        <w:t xml:space="preserve">Trinchera, Tommaso. "Asset Forfeiture and Recovery: Better Tools for Combating Bribery and Corruption Crimes." </w:t>
      </w:r>
      <w:r w:rsidRPr="00347C21">
        <w:rPr>
          <w:rFonts w:ascii="Garamond" w:hAnsi="Garamond"/>
          <w:i/>
          <w:iCs/>
          <w:noProof/>
          <w:sz w:val="24"/>
          <w:szCs w:val="24"/>
        </w:rPr>
        <w:t>Criminal Law Forum</w:t>
      </w:r>
      <w:r w:rsidRPr="00D8275D">
        <w:rPr>
          <w:rFonts w:ascii="Garamond" w:hAnsi="Garamond"/>
          <w:noProof/>
          <w:sz w:val="24"/>
          <w:szCs w:val="24"/>
        </w:rPr>
        <w:t xml:space="preserve"> 31, no. 1 (March 1, 2020): 49–79. https://doi.org/10.1007/S10609-020-09382-1/METRICS.</w:t>
      </w:r>
    </w:p>
    <w:p w14:paraId="4D257DEA" w14:textId="77777777" w:rsidR="00D8275D" w:rsidRDefault="00D8275D" w:rsidP="00B16F64">
      <w:pPr>
        <w:tabs>
          <w:tab w:val="left" w:pos="426"/>
        </w:tabs>
        <w:spacing w:after="120" w:line="240" w:lineRule="auto"/>
        <w:jc w:val="both"/>
        <w:rPr>
          <w:rFonts w:ascii="Garamond" w:hAnsi="Garamond"/>
          <w:color w:val="000000"/>
          <w:sz w:val="24"/>
          <w:szCs w:val="24"/>
          <w:lang w:val="en-GB"/>
        </w:rPr>
      </w:pPr>
      <w:r>
        <w:rPr>
          <w:rFonts w:ascii="Garamond" w:hAnsi="Garamond"/>
          <w:color w:val="000000"/>
          <w:sz w:val="24"/>
          <w:szCs w:val="24"/>
        </w:rPr>
        <w:fldChar w:fldCharType="end"/>
      </w:r>
    </w:p>
    <w:p w14:paraId="325C6349" w14:textId="77777777" w:rsidR="005F4F99" w:rsidRPr="00297C7D" w:rsidRDefault="005F4F99" w:rsidP="00B16F64">
      <w:pPr>
        <w:tabs>
          <w:tab w:val="left" w:pos="426"/>
        </w:tabs>
        <w:spacing w:after="120" w:line="240" w:lineRule="auto"/>
        <w:jc w:val="both"/>
        <w:rPr>
          <w:rFonts w:ascii="Garamond" w:hAnsi="Garamond"/>
          <w:b/>
          <w:bCs/>
          <w:color w:val="000000"/>
          <w:sz w:val="24"/>
          <w:szCs w:val="24"/>
          <w:lang w:val="en-GB"/>
        </w:rPr>
      </w:pPr>
      <w:r w:rsidRPr="00297C7D">
        <w:rPr>
          <w:rFonts w:ascii="Garamond" w:hAnsi="Garamond"/>
          <w:b/>
          <w:bCs/>
          <w:color w:val="000000"/>
          <w:sz w:val="24"/>
          <w:szCs w:val="24"/>
        </w:rPr>
        <w:t>Conference Proceedings:</w:t>
      </w:r>
    </w:p>
    <w:p w14:paraId="1D59A2DD" w14:textId="77777777" w:rsidR="00D8275D" w:rsidRPr="00D8275D" w:rsidRDefault="00D8275D" w:rsidP="00D8275D">
      <w:pPr>
        <w:widowControl w:val="0"/>
        <w:autoSpaceDE w:val="0"/>
        <w:autoSpaceDN w:val="0"/>
        <w:adjustRightInd w:val="0"/>
        <w:spacing w:after="120" w:line="240" w:lineRule="auto"/>
        <w:ind w:left="480" w:hanging="480"/>
        <w:rPr>
          <w:rFonts w:ascii="Garamond" w:hAnsi="Garamond"/>
          <w:noProof/>
          <w:sz w:val="24"/>
          <w:szCs w:val="24"/>
        </w:rPr>
      </w:pPr>
      <w:r w:rsidRPr="00D8275D">
        <w:rPr>
          <w:rFonts w:ascii="Garamond" w:hAnsi="Garamond"/>
          <w:noProof/>
          <w:sz w:val="24"/>
          <w:szCs w:val="24"/>
        </w:rPr>
        <w:t xml:space="preserve">Fathur Faculty of Law, Muhammad, University of Veterans National Development Hospital Jakarta Jl Fatmawati Raya Nomor, and Pondok Labu. "TOKOPEDIA'S RESPONSIBILITY FOR THE LEAKAGE OF CONSUMERS' PERSONAL DATA." </w:t>
      </w:r>
      <w:r w:rsidRPr="00347C21">
        <w:rPr>
          <w:rFonts w:ascii="Garamond" w:hAnsi="Garamond"/>
          <w:i/>
          <w:iCs/>
          <w:noProof/>
          <w:sz w:val="24"/>
          <w:szCs w:val="24"/>
        </w:rPr>
        <w:t>National Conference on Legal Sciences</w:t>
      </w:r>
      <w:r w:rsidRPr="00D8275D">
        <w:rPr>
          <w:rFonts w:ascii="Garamond" w:hAnsi="Garamond"/>
          <w:noProof/>
          <w:sz w:val="24"/>
          <w:szCs w:val="24"/>
        </w:rPr>
        <w:t xml:space="preserve"> (NCOLS) 2, no. 1 (November 19, 2020): 43–60. https://conference.upnvj.ac.id/index.php/ncols/article/view/1345.</w:t>
      </w:r>
    </w:p>
    <w:p w14:paraId="12C9CCBC" w14:textId="77777777" w:rsidR="00B97581" w:rsidRPr="00297C7D" w:rsidRDefault="00B97581" w:rsidP="00B16F64">
      <w:pPr>
        <w:pStyle w:val="ListParagraph"/>
        <w:spacing w:after="120" w:line="240" w:lineRule="auto"/>
        <w:ind w:left="284"/>
        <w:jc w:val="both"/>
        <w:rPr>
          <w:rFonts w:ascii="Garamond" w:hAnsi="Garamond"/>
          <w:color w:val="000000"/>
          <w:sz w:val="24"/>
          <w:szCs w:val="24"/>
          <w:lang w:val="en-GB"/>
        </w:rPr>
      </w:pPr>
    </w:p>
    <w:p w14:paraId="62BFF09B" w14:textId="77777777" w:rsidR="005F4F99" w:rsidRPr="00297C7D" w:rsidRDefault="005F4F99" w:rsidP="00B16F64">
      <w:pPr>
        <w:tabs>
          <w:tab w:val="left" w:pos="426"/>
        </w:tabs>
        <w:spacing w:after="120" w:line="240" w:lineRule="auto"/>
        <w:jc w:val="both"/>
        <w:rPr>
          <w:rFonts w:ascii="Garamond" w:hAnsi="Garamond"/>
          <w:b/>
          <w:bCs/>
          <w:color w:val="000000"/>
          <w:sz w:val="24"/>
          <w:szCs w:val="24"/>
          <w:lang w:val="en-GB"/>
        </w:rPr>
      </w:pPr>
      <w:r w:rsidRPr="00297C7D">
        <w:rPr>
          <w:rFonts w:ascii="Garamond" w:hAnsi="Garamond"/>
          <w:b/>
          <w:bCs/>
          <w:color w:val="000000"/>
          <w:sz w:val="24"/>
          <w:szCs w:val="24"/>
        </w:rPr>
        <w:t>Books:</w:t>
      </w:r>
    </w:p>
    <w:p w14:paraId="787E5FDE" w14:textId="77777777" w:rsidR="00D8275D" w:rsidRPr="00D8275D" w:rsidRDefault="00B97581" w:rsidP="00D8275D">
      <w:pPr>
        <w:widowControl w:val="0"/>
        <w:autoSpaceDE w:val="0"/>
        <w:autoSpaceDN w:val="0"/>
        <w:adjustRightInd w:val="0"/>
        <w:spacing w:after="120" w:line="240" w:lineRule="auto"/>
        <w:ind w:left="480" w:hanging="480"/>
        <w:rPr>
          <w:rFonts w:ascii="Garamond" w:hAnsi="Garamond"/>
          <w:noProof/>
          <w:sz w:val="24"/>
          <w:szCs w:val="24"/>
        </w:rPr>
      </w:pPr>
      <w:r w:rsidRPr="00B97581">
        <w:rPr>
          <w:rFonts w:ascii="Garamond" w:hAnsi="Garamond"/>
          <w:color w:val="000000"/>
          <w:sz w:val="24"/>
          <w:szCs w:val="24"/>
        </w:rPr>
        <w:fldChar w:fldCharType="begin" w:fldLock="1"/>
      </w:r>
      <w:r w:rsidRPr="00B97581">
        <w:rPr>
          <w:rFonts w:ascii="Garamond" w:hAnsi="Garamond"/>
          <w:color w:val="000000"/>
          <w:sz w:val="24"/>
          <w:szCs w:val="24"/>
        </w:rPr>
        <w:instrText xml:space="preserve">ADDIN Mendeley Bibliography CSL_BIBLIOGRAPHY </w:instrText>
      </w:r>
      <w:r w:rsidRPr="00B97581">
        <w:rPr>
          <w:rFonts w:ascii="Garamond" w:hAnsi="Garamond"/>
          <w:color w:val="000000"/>
          <w:sz w:val="24"/>
          <w:szCs w:val="24"/>
        </w:rPr>
        <w:fldChar w:fldCharType="separate"/>
      </w:r>
      <w:r w:rsidR="00D8275D" w:rsidRPr="00D8275D">
        <w:rPr>
          <w:rFonts w:ascii="Garamond" w:hAnsi="Garamond"/>
          <w:noProof/>
          <w:sz w:val="24"/>
          <w:szCs w:val="24"/>
        </w:rPr>
        <w:t xml:space="preserve">Amalia, Mia, Frans Reumi, and Kiki Kristanto. </w:t>
      </w:r>
      <w:r w:rsidR="00D8275D" w:rsidRPr="00347C21">
        <w:rPr>
          <w:rFonts w:ascii="Garamond" w:hAnsi="Garamond"/>
          <w:i/>
          <w:iCs/>
          <w:noProof/>
          <w:sz w:val="24"/>
          <w:szCs w:val="24"/>
        </w:rPr>
        <w:t>Criminal Code of 2023</w:t>
      </w:r>
      <w:r w:rsidR="00D8275D" w:rsidRPr="00D8275D">
        <w:rPr>
          <w:rFonts w:ascii="Garamond" w:hAnsi="Garamond"/>
          <w:noProof/>
          <w:sz w:val="24"/>
          <w:szCs w:val="24"/>
        </w:rPr>
        <w:t>. Edited by Ida Kumala Sari. Jambi: PT. Sonpedia Publishing Indonesia, 2025.</w:t>
      </w:r>
    </w:p>
    <w:p w14:paraId="2330C7A1" w14:textId="77777777" w:rsidR="00B16F64" w:rsidRPr="00297C7D" w:rsidRDefault="00B97581" w:rsidP="00D8275D">
      <w:pPr>
        <w:widowControl w:val="0"/>
        <w:autoSpaceDE w:val="0"/>
        <w:autoSpaceDN w:val="0"/>
        <w:adjustRightInd w:val="0"/>
        <w:spacing w:after="120" w:line="240" w:lineRule="auto"/>
        <w:ind w:left="480" w:hanging="480"/>
        <w:rPr>
          <w:rFonts w:ascii="Garamond" w:hAnsi="Garamond"/>
          <w:color w:val="000000"/>
          <w:sz w:val="24"/>
          <w:szCs w:val="24"/>
          <w:lang w:val="en-GB"/>
        </w:rPr>
      </w:pPr>
      <w:r w:rsidRPr="00B97581">
        <w:rPr>
          <w:rFonts w:ascii="Garamond" w:hAnsi="Garamond"/>
          <w:color w:val="000000"/>
          <w:sz w:val="24"/>
          <w:szCs w:val="24"/>
        </w:rPr>
        <w:fldChar w:fldCharType="end"/>
      </w:r>
    </w:p>
    <w:p w14:paraId="21672842" w14:textId="77777777" w:rsidR="005F4F99" w:rsidRPr="00297C7D" w:rsidRDefault="005F4F99" w:rsidP="00B16F64">
      <w:pPr>
        <w:tabs>
          <w:tab w:val="left" w:pos="426"/>
        </w:tabs>
        <w:spacing w:after="120" w:line="240" w:lineRule="auto"/>
        <w:jc w:val="both"/>
        <w:rPr>
          <w:rFonts w:ascii="Garamond" w:hAnsi="Garamond"/>
          <w:b/>
          <w:bCs/>
          <w:color w:val="000000"/>
          <w:sz w:val="24"/>
          <w:szCs w:val="24"/>
          <w:lang w:val="en-GB"/>
        </w:rPr>
      </w:pPr>
      <w:r w:rsidRPr="00297C7D">
        <w:rPr>
          <w:rFonts w:ascii="Garamond" w:hAnsi="Garamond"/>
          <w:b/>
          <w:bCs/>
          <w:color w:val="000000"/>
          <w:sz w:val="24"/>
          <w:szCs w:val="24"/>
        </w:rPr>
        <w:t>Online resources:</w:t>
      </w:r>
    </w:p>
    <w:bookmarkEnd w:id="0"/>
    <w:p w14:paraId="0D802B5F" w14:textId="77777777" w:rsidR="00504ADD" w:rsidRDefault="00D8275D" w:rsidP="00D8275D">
      <w:pPr>
        <w:widowControl w:val="0"/>
        <w:autoSpaceDE w:val="0"/>
        <w:autoSpaceDN w:val="0"/>
        <w:adjustRightInd w:val="0"/>
        <w:spacing w:after="120" w:line="240" w:lineRule="auto"/>
        <w:ind w:left="480" w:hanging="480"/>
        <w:rPr>
          <w:rFonts w:ascii="Garamond" w:hAnsi="Garamond"/>
          <w:noProof/>
          <w:sz w:val="24"/>
        </w:rPr>
      </w:pPr>
      <w:r w:rsidRPr="00D8275D">
        <w:rPr>
          <w:rFonts w:ascii="Garamond" w:hAnsi="Garamond"/>
          <w:noProof/>
          <w:sz w:val="24"/>
          <w:szCs w:val="24"/>
        </w:rPr>
        <w:t>John Litha. "Throughout 2021, BNN uncovered 760 cases of drug crimes," 2020.</w:t>
      </w:r>
      <w:hyperlink r:id="rId8" w:history="1">
        <w:r w:rsidRPr="00E0435B">
          <w:rPr>
            <w:rStyle w:val="Hyperlink"/>
            <w:rFonts w:ascii="Garamond" w:hAnsi="Garamond"/>
            <w:noProof/>
            <w:sz w:val="24"/>
            <w:szCs w:val="24"/>
          </w:rPr>
          <w:t>https://www.voaindonesia.com/a/sepanjang-2021-bnn-ungkap-760-kasus-tindak-pidana-narkoba-/6375450.html</w:t>
        </w:r>
      </w:hyperlink>
      <w:r w:rsidRPr="00D8275D">
        <w:rPr>
          <w:rFonts w:ascii="Garamond" w:hAnsi="Garamond"/>
          <w:noProof/>
          <w:sz w:val="24"/>
          <w:szCs w:val="24"/>
        </w:rPr>
        <w:t>.</w:t>
      </w:r>
    </w:p>
    <w:p w14:paraId="31C46679" w14:textId="77777777" w:rsidR="00B11865" w:rsidRDefault="00B11865" w:rsidP="00B11865">
      <w:pPr>
        <w:widowControl w:val="0"/>
        <w:autoSpaceDE w:val="0"/>
        <w:autoSpaceDN w:val="0"/>
        <w:adjustRightInd w:val="0"/>
        <w:spacing w:after="120" w:line="240" w:lineRule="auto"/>
        <w:rPr>
          <w:rFonts w:ascii="Garamond" w:hAnsi="Garamond"/>
          <w:noProof/>
          <w:sz w:val="24"/>
        </w:rPr>
      </w:pPr>
    </w:p>
    <w:p w14:paraId="090C8241" w14:textId="7459BD69" w:rsidR="00F249FB" w:rsidRPr="00B11865" w:rsidRDefault="00B11865" w:rsidP="00B11865">
      <w:pPr>
        <w:widowControl w:val="0"/>
        <w:autoSpaceDE w:val="0"/>
        <w:autoSpaceDN w:val="0"/>
        <w:adjustRightInd w:val="0"/>
        <w:spacing w:after="120" w:line="240" w:lineRule="auto"/>
        <w:rPr>
          <w:rFonts w:ascii="Garamond" w:hAnsi="Garamond"/>
          <w:b/>
          <w:bCs/>
          <w:noProof/>
          <w:sz w:val="24"/>
        </w:rPr>
      </w:pPr>
      <w:r w:rsidRPr="00B11865">
        <w:rPr>
          <w:rFonts w:ascii="Garamond" w:hAnsi="Garamond"/>
          <w:b/>
          <w:bCs/>
          <w:noProof/>
          <w:sz w:val="24"/>
        </w:rPr>
        <w:t>Others:</w:t>
      </w:r>
    </w:p>
    <w:p w14:paraId="0C8F6671" w14:textId="05437A7A" w:rsidR="00B11865" w:rsidRDefault="00471148" w:rsidP="00D8275D">
      <w:pPr>
        <w:widowControl w:val="0"/>
        <w:autoSpaceDE w:val="0"/>
        <w:autoSpaceDN w:val="0"/>
        <w:adjustRightInd w:val="0"/>
        <w:spacing w:after="120" w:line="240" w:lineRule="auto"/>
        <w:ind w:left="480" w:hanging="480"/>
        <w:rPr>
          <w:rFonts w:ascii="Garamond" w:hAnsi="Garamond"/>
          <w:noProof/>
          <w:sz w:val="24"/>
        </w:rPr>
      </w:pPr>
      <w:r>
        <w:rPr>
          <w:rFonts w:ascii="Garamond" w:hAnsi="Garamond"/>
          <w:noProof/>
          <w:sz w:val="24"/>
        </w:rPr>
        <w:t>.................................</w:t>
      </w:r>
    </w:p>
    <w:sectPr w:rsidR="00B11865">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6EA94" w14:textId="77777777" w:rsidR="00EA7609" w:rsidRDefault="00EA7609" w:rsidP="002925AD">
      <w:pPr>
        <w:spacing w:after="0" w:line="240" w:lineRule="auto"/>
      </w:pPr>
      <w:r>
        <w:separator/>
      </w:r>
    </w:p>
  </w:endnote>
  <w:endnote w:type="continuationSeparator" w:id="0">
    <w:p w14:paraId="139AE50C" w14:textId="77777777" w:rsidR="00EA7609" w:rsidRDefault="00EA7609" w:rsidP="002925AD">
      <w:pPr>
        <w:spacing w:after="0" w:line="240" w:lineRule="auto"/>
      </w:pPr>
      <w:r>
        <w:continuationSeparator/>
      </w:r>
    </w:p>
  </w:endnote>
  <w:endnote w:type="continuationNotice" w:id="1">
    <w:p w14:paraId="2FE5DFD5" w14:textId="77777777" w:rsidR="00EA7609" w:rsidRDefault="00EA76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Junicode">
    <w:altName w:val="Calibri"/>
    <w:charset w:val="00"/>
    <w:family w:val="auto"/>
    <w:pitch w:val="default"/>
  </w:font>
  <w:font w:name="Adobe Gothic Std B">
    <w:panose1 w:val="020B0800000000000000"/>
    <w:charset w:val="80"/>
    <w:family w:val="swiss"/>
    <w:notTrueType/>
    <w:pitch w:val="variable"/>
    <w:sig w:usb0="00000203" w:usb1="29D72C10" w:usb2="00000010" w:usb3="00000000" w:csb0="002A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ECE94" w14:textId="77777777" w:rsidR="003B3ACE" w:rsidRDefault="003B3A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9763731"/>
      <w:docPartObj>
        <w:docPartGallery w:val="Page Numbers (Bottom of Page)"/>
        <w:docPartUnique/>
      </w:docPartObj>
    </w:sdtPr>
    <w:sdtContent>
      <w:p w14:paraId="125E91B5" w14:textId="48004B55" w:rsidR="00D609DF" w:rsidRDefault="00D609DF">
        <w:pPr>
          <w:pStyle w:val="Footer"/>
        </w:pPr>
        <w:r>
          <w:fldChar w:fldCharType="begin"/>
        </w:r>
        <w:r>
          <w:instrText>PAGE   \* MERGEFORMAT</w:instrText>
        </w:r>
        <w:r>
          <w:fldChar w:fldCharType="separate"/>
        </w:r>
        <w:r>
          <w:rPr>
            <w:lang w:val="en-GB"/>
          </w:rPr>
          <w:t>2</w:t>
        </w:r>
        <w:r>
          <w:fldChar w:fldCharType="end"/>
        </w:r>
      </w:p>
    </w:sdtContent>
  </w:sdt>
  <w:p w14:paraId="5B185693" w14:textId="77777777" w:rsidR="00D609DF" w:rsidRDefault="00D609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CDD0D" w14:textId="77777777" w:rsidR="003B3ACE" w:rsidRDefault="003B3A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9A6C7" w14:textId="77777777" w:rsidR="00EA7609" w:rsidRDefault="00EA7609" w:rsidP="002925AD">
      <w:pPr>
        <w:spacing w:after="0" w:line="240" w:lineRule="auto"/>
      </w:pPr>
      <w:r>
        <w:separator/>
      </w:r>
    </w:p>
  </w:footnote>
  <w:footnote w:type="continuationSeparator" w:id="0">
    <w:p w14:paraId="2C70DA07" w14:textId="77777777" w:rsidR="00EA7609" w:rsidRDefault="00EA7609" w:rsidP="002925AD">
      <w:pPr>
        <w:spacing w:after="0" w:line="240" w:lineRule="auto"/>
      </w:pPr>
      <w:r>
        <w:continuationSeparator/>
      </w:r>
    </w:p>
  </w:footnote>
  <w:footnote w:type="continuationNotice" w:id="1">
    <w:p w14:paraId="5A54FF39" w14:textId="77777777" w:rsidR="00EA7609" w:rsidRDefault="00EA7609">
      <w:pPr>
        <w:spacing w:after="0" w:line="240" w:lineRule="auto"/>
      </w:pPr>
    </w:p>
  </w:footnote>
  <w:footnote w:id="2">
    <w:p w14:paraId="51FA2AD2" w14:textId="610CAB65" w:rsidR="00795F05" w:rsidRPr="009859EE" w:rsidRDefault="00795F05" w:rsidP="008B039D">
      <w:pPr>
        <w:pStyle w:val="FootnoteText"/>
        <w:ind w:firstLine="567"/>
        <w:jc w:val="both"/>
        <w:rPr>
          <w:rFonts w:ascii="Garamond" w:hAnsi="Garamond"/>
          <w:lang w:val="en-US"/>
        </w:rPr>
      </w:pPr>
      <w:r w:rsidRPr="009859EE">
        <w:rPr>
          <w:rStyle w:val="FootnoteReference"/>
          <w:rFonts w:ascii="Garamond" w:hAnsi="Garamond"/>
        </w:rPr>
        <w:footnoteRef/>
      </w:r>
      <w:r w:rsidRPr="009859EE">
        <w:rPr>
          <w:rFonts w:ascii="Garamond" w:hAnsi="Garamond"/>
        </w:rPr>
        <w:t xml:space="preserve"> </w:t>
      </w:r>
      <w:r w:rsidRPr="009859EE">
        <w:rPr>
          <w:rFonts w:ascii="Garamond" w:hAnsi="Garamond"/>
        </w:rPr>
        <w:fldChar w:fldCharType="begin" w:fldLock="1"/>
      </w:r>
      <w:r w:rsidRPr="009859EE">
        <w:rPr>
          <w:rFonts w:ascii="Garamond" w:hAnsi="Garamond"/>
        </w:rPr>
        <w:instrText>ADDIN CSL_CITATION {"citationItems":[{"id":"ITEM-1","itemData":{"DOI":"10.1007/S10609-020-09382-1/METRICS","ISSN":"15729850","abstract":"There is a global trend represented by the widespread application of confiscation of criminal proceeds, particularly those obtained as a result of corruption offences. Focusing on the Italian law, this article tries to address the following three questions: 1) Why are confiscation and asset recovery so important to fight bribery and corruption crime? In other words, what is the legitimate purpose of these measures? In other words, what is the legitimate purpose of these measures? 2) How can confiscation of the proceeds of corruption offences be accomplished? and 3) Are effective confiscation regimes constitutional or do they infringe upon individual rights and liberties? The article concludes that confiscation is a key tool for tackling corruption crime since it reduces the incentive to commit bribery by removing from bribe-givers or bribe-takers the fruits of their illicit acts. However, the “traditional” method of confiscation, which is limited to the property involved in the particular offence for which the defendant was convicted, is inadequate to deprive criminals who engaged in corruption offences of their ill-gotten gains. More powerful instruments, such as extended confiscation or non-conviction-based confiscation, are required for that purpose. These instruments are constitutional as long as they merely put wrongdoers back to the economic position they occupied before committing the crime. Such legal instruments serve as remedial measures and not as punishments, and thus their imposition does not trigger those special safeguards that the Constitution and human rights require for criminal prosecutions.","author":[{"dropping-particle":"","family":"Trinchera","given":"Tommaso","non-dropping-particle":"","parse-names":false,"suffix":""}],"container-title":"Criminal Law Forum","id":"ITEM-1","issue":"1","issued":{"date-parts":[["2020","3","1"]]},"page":"49-79","publisher":"Springer","title":"Confiscation And Asset Recovery: Better Tools To Fight Bribery And Corruption Crime","type":"article-journal","volume":"31"},"uris":["http://www.mendeley.com/documents/?uuid=99cac692-c31c-361e-a185-06a41db4eb58"]}],"mendeley":{"formattedCitation":"Tommaso Trinchera, “Confiscation And Asset Recovery: Better Tools To Fight Bribery And Corruption Crime,” &lt;i&gt;Criminal Law Forum&lt;/i&gt; 31, no. 1 (March 1, 2020): 49–79, https://doi.org/10.1007/S10609-020-09382-1/METRICS.","plainTextFormattedCitation":"Tommaso Trinchera, “Confiscation And Asset Recovery: Better Tools To Fight Bribery And Corruption Crime,” Criminal Law Forum 31, no. 1 (March 1, 2020): 49–79, https://doi.org/10.1007/S10609-020-09382-1/METRICS.","previouslyFormattedCitation":"Tommaso Trinchera, “Confiscation And Asset Recovery: Better Tools To Fight Bribery And Corruption Crime,” &lt;i&gt;Criminal Law Forum&lt;/i&gt; 31, no. 1 (March 1, 2020): 49–79, https://doi.org/10.1007/S10609-020-09382-1/METRICS."},"properties":{"noteIndex":1},"schema":"https://github.com/citation-style-language/schema/raw/master/csl-citation.json"}</w:instrText>
      </w:r>
      <w:r w:rsidRPr="009859EE">
        <w:rPr>
          <w:rFonts w:ascii="Garamond" w:hAnsi="Garamond"/>
        </w:rPr>
        <w:fldChar w:fldCharType="separate"/>
      </w:r>
      <w:r w:rsidR="00C3751E" w:rsidRPr="009859EE">
        <w:rPr>
          <w:rFonts w:ascii="Garamond" w:hAnsi="Garamond"/>
        </w:rPr>
        <w:fldChar w:fldCharType="begin" w:fldLock="1"/>
      </w:r>
      <w:r w:rsidR="00C3751E" w:rsidRPr="009859EE">
        <w:rPr>
          <w:rFonts w:ascii="Garamond" w:hAnsi="Garamond"/>
        </w:rPr>
        <w:instrText>ADDIN CSL_CITATION {"citationItems":[{"id":"ITEM-1","itemData":{"DOI":"10.1007/S10609-020-09382-1/METRICS","ISSN":"15729850","abstract":"There is a global trend represented by the widespread application of confiscation of criminal proceeds, particularly those obtained as a result of corruption offences. Focusing on the Italian law, this article tries to address the following three questions: 1) Why are confiscation and asset recovery so important to fight bribery and corruption crime? In other words, what is the legitimate purpose of these measures? In other words, what is the legitimate purpose of these measures? 2) How can confiscation of the proceeds of corruption offences be accomplished? and 3) Are effective confiscation regimes constitutional or do they infringe upon individual rights and liberties? The article concludes that confiscation is a key tool for tackling corruption crime since it reduces the incentive to commit bribery by removing from bribe-givers or bribe-takers the fruits of their illicit acts. However, the “traditional” method of confiscation, which is limited to the property involved in the particular offence for which the defendant was convicted, is inadequate to deprive criminals who engaged in corruption offences of their ill-gotten gains. More powerful instruments, such as extended confiscation or non-conviction-based confiscation, are required for that purpose. These instruments are constitutional as long as they merely put wrongdoers back to the economic position they occupied before committing the crime. Such legal instruments serve as remedial measures and not as punishments, and thus their imposition does not trigger those special safeguards that the Constitution and human rights require for criminal prosecutions.","author":[{"dropping-particle":"","family":"Trinchera","given":"Tommaso","non-dropping-particle":"","parse-names":false,"suffix":""}],"container-title":"Criminal Law Forum","id":"ITEM-1","issue":"1","issued":{"date-parts":[["2020","3","1"]]},"page":"49-79","publisher":"Springer","title":"Confiscation And Asset Recovery: Better Tools To Fight Bribery And Corruption Crime","type":"article-journal","volume":"31"},"uris":["http://www.mendeley.com/documents/?uuid=99cac692-c31c-361e-a185-06a41db4eb58"]}],"mendeley":{"formattedCitation":"Tommaso Trinchera, “Confiscation And Asset Recovery: Better Tools To Fight Bribery And Corruption Crime,” &lt;i&gt;Criminal Law Forum&lt;/i&gt; 31, no. 1 (March 1, 2020): 49–79, https://doi.org/10.1007/S10609-020-09382-1/METRICS.","plainTextFormattedCitation":"Tommaso Trinchera, “Confiscation And Asset Recovery: Better Tools To Fight Bribery And Corruption Crime,” Criminal Law Forum 31, no. 1 (March 1, 2020): 49–79, https://doi.org/10.1007/S10609-020-09382-1/METRICS.","previouslyFormattedCitation":"Tommaso Trinchera, “Confiscation And Asset Recovery: Better Tools To Fight Bribery And Corruption Crime,” &lt;i&gt;Criminal Law Forum&lt;/i&gt; 31, no. 1 (March 1, 2020): 49–79, https://doi.org/10.1007/S10609-020-09382-1/METRICS."},"properties":{"noteIndex":1},"schema":"https://github.com/citation-style-language/schema/raw/master/csl-citation.json"}</w:instrText>
      </w:r>
      <w:r w:rsidR="00C3751E" w:rsidRPr="009859EE">
        <w:rPr>
          <w:rFonts w:ascii="Garamond" w:hAnsi="Garamond"/>
        </w:rPr>
        <w:fldChar w:fldCharType="separate"/>
      </w:r>
      <w:r w:rsidR="00C3751E" w:rsidRPr="009859EE">
        <w:rPr>
          <w:rFonts w:ascii="Garamond" w:hAnsi="Garamond"/>
          <w:noProof/>
        </w:rPr>
        <w:t xml:space="preserve">Tommaso Trinchera, “Confiscation And Asset Recovery: Better Tools To Fight Bribery And Corruption Crime,” </w:t>
      </w:r>
      <w:r w:rsidR="00C3751E" w:rsidRPr="009859EE">
        <w:rPr>
          <w:rFonts w:ascii="Garamond" w:hAnsi="Garamond"/>
          <w:i/>
          <w:noProof/>
        </w:rPr>
        <w:t>Criminal Law Forum</w:t>
      </w:r>
      <w:r w:rsidR="00C3751E" w:rsidRPr="009859EE">
        <w:rPr>
          <w:rFonts w:ascii="Garamond" w:hAnsi="Garamond"/>
          <w:noProof/>
        </w:rPr>
        <w:t xml:space="preserve"> 31, no. 1 (March 1, 2020): 49–79, https://doi.org/10.1007/S10609-020-09382-1/METRICS.</w:t>
      </w:r>
      <w:r w:rsidR="00C3751E" w:rsidRPr="009859EE">
        <w:rPr>
          <w:rFonts w:ascii="Garamond" w:hAnsi="Garamond"/>
        </w:rPr>
        <w:fldChar w:fldCharType="end"/>
      </w:r>
      <w:r w:rsidRPr="009859EE">
        <w:rPr>
          <w:rFonts w:ascii="Garamond" w:hAnsi="Garamond"/>
        </w:rPr>
        <w:fldChar w:fldCharType="end"/>
      </w:r>
    </w:p>
  </w:footnote>
  <w:footnote w:id="3">
    <w:p w14:paraId="0549AD88" w14:textId="5DC04F84" w:rsidR="00BC2DF7" w:rsidRPr="009859EE" w:rsidRDefault="00BC2DF7" w:rsidP="008B039D">
      <w:pPr>
        <w:pStyle w:val="FootnoteText"/>
        <w:ind w:firstLine="567"/>
        <w:jc w:val="both"/>
        <w:rPr>
          <w:rFonts w:ascii="Garamond" w:hAnsi="Garamond"/>
          <w:lang w:val="en-US"/>
        </w:rPr>
      </w:pPr>
      <w:r w:rsidRPr="009859EE">
        <w:rPr>
          <w:rStyle w:val="FootnoteReference"/>
          <w:rFonts w:ascii="Garamond" w:hAnsi="Garamond"/>
        </w:rPr>
        <w:footnoteRef/>
      </w:r>
      <w:r w:rsidRPr="009859EE">
        <w:rPr>
          <w:rFonts w:ascii="Garamond" w:hAnsi="Garamond"/>
        </w:rPr>
        <w:t xml:space="preserve"> </w:t>
      </w:r>
      <w:r w:rsidRPr="009859EE">
        <w:rPr>
          <w:rFonts w:ascii="Garamond" w:hAnsi="Garamond"/>
        </w:rPr>
        <w:fldChar w:fldCharType="begin" w:fldLock="1"/>
      </w:r>
      <w:r w:rsidR="004E4321" w:rsidRPr="009859EE">
        <w:rPr>
          <w:rFonts w:ascii="Garamond" w:hAnsi="Garamond"/>
        </w:rPr>
        <w:instrText>ADDIN CSL_CITATION {"citationItems":[{"id":"ITEM-1","itemData":{"author":[{"dropping-particle":"","family":"Amalia","given":"Mia","non-dropping-particle":"","parse-names":false,"suffix":""},{"dropping-particle":"","family":"Reumi","given":"Frans","non-dropping-particle":"","parse-names":false,"suffix":""},{"dropping-particle":"","family":"Kristanto","given":"Kiki","non-dropping-particle":"","parse-names":false,"suffix":""}],"editor":[{"dropping-particle":"","family":"Ida Kumala Sari","given":"","non-dropping-particle":"","parse-names":false,"suffix":""}],"id":"ITEM-1","issued":{"date-parts":[["2025","5"]]},"publisher":"PT. Sonpedia Publishing Indonesia","publisher-place":"Jambi","title":"Kitab Undang Undang Hukum Pidana Tahun 2023","type":"book"},"uris":["http://www.mendeley.com/documents/?uuid=e7b8076e-4000-3f21-afa5-2769d264cca3"]}],"mendeley":{"formattedCitation":"Mia Amalia, Frans Reumi, and Kiki Kristanto, &lt;i&gt;Kitab Undang Undang Hukum Pidana Tahun 2023&lt;/i&gt;, ed. Ida Kumala Sari (Jambi: PT. Sonpedia Publishing Indonesia, 2025).","plainTextFormattedCitation":"Mia Amalia, Frans Reumi, and Kiki Kristanto, Kitab Undang Undang Hukum Pidana Tahun 2023, ed. Ida Kumala Sari (Jambi: PT. Sonpedia Publishing Indonesia, 2025).","previouslyFormattedCitation":"Mia Amalia, Frans Reumi, and Kiki Kristanto, &lt;i&gt;Kitab Undang Undang Hukum Pidana Tahun 2023&lt;/i&gt;, ed. Ida Kumala Sari (Jambi: PT. Sonpedia Publishing Indonesia, 2025)."},"properties":{"noteIndex":2},"schema":"https://github.com/citation-style-language/schema/raw/master/csl-citation.json"}</w:instrText>
      </w:r>
      <w:r w:rsidRPr="009859EE">
        <w:rPr>
          <w:rFonts w:ascii="Garamond" w:hAnsi="Garamond"/>
        </w:rPr>
        <w:fldChar w:fldCharType="separate"/>
      </w:r>
      <w:r w:rsidR="00C3751E" w:rsidRPr="009859EE">
        <w:rPr>
          <w:rFonts w:ascii="Garamond" w:hAnsi="Garamond"/>
          <w:noProof/>
        </w:rPr>
        <w:t xml:space="preserve"> Mia Amalia, Frans Reumi, and Kiki Kristanto, </w:t>
      </w:r>
      <w:r w:rsidR="00C3751E" w:rsidRPr="009859EE">
        <w:rPr>
          <w:rFonts w:ascii="Garamond" w:hAnsi="Garamond"/>
          <w:i/>
          <w:noProof/>
        </w:rPr>
        <w:t>Criminal Code of 2023</w:t>
      </w:r>
      <w:r w:rsidR="00C3751E" w:rsidRPr="009859EE">
        <w:rPr>
          <w:rFonts w:ascii="Garamond" w:hAnsi="Garamond"/>
          <w:noProof/>
        </w:rPr>
        <w:t>, ed. Ida Kumala Sari (Jambi: PT. Sonpedia Publishing Indonesia, 2025).</w:t>
      </w:r>
      <w:r w:rsidRPr="009859EE">
        <w:rPr>
          <w:rFonts w:ascii="Garamond" w:hAnsi="Garamond"/>
        </w:rPr>
        <w:fldChar w:fldCharType="end"/>
      </w:r>
    </w:p>
  </w:footnote>
  <w:footnote w:id="4">
    <w:p w14:paraId="7692FBD1" w14:textId="69BA55D5" w:rsidR="004E4321" w:rsidRPr="009859EE" w:rsidRDefault="004E4321" w:rsidP="008B039D">
      <w:pPr>
        <w:pStyle w:val="FootnoteText"/>
        <w:ind w:firstLine="567"/>
        <w:jc w:val="both"/>
        <w:rPr>
          <w:rFonts w:ascii="Garamond" w:hAnsi="Garamond"/>
          <w:lang w:val="en-US"/>
        </w:rPr>
      </w:pPr>
      <w:r w:rsidRPr="009859EE">
        <w:rPr>
          <w:rStyle w:val="FootnoteReference"/>
          <w:rFonts w:ascii="Garamond" w:hAnsi="Garamond"/>
        </w:rPr>
        <w:footnoteRef/>
      </w:r>
      <w:r w:rsidRPr="009859EE">
        <w:rPr>
          <w:rFonts w:ascii="Garamond" w:hAnsi="Garamond"/>
        </w:rPr>
        <w:t xml:space="preserve"> </w:t>
      </w:r>
      <w:r w:rsidRPr="009859EE">
        <w:rPr>
          <w:rFonts w:ascii="Garamond" w:hAnsi="Garamond"/>
        </w:rPr>
        <w:fldChar w:fldCharType="begin" w:fldLock="1"/>
      </w:r>
      <w:r w:rsidR="00C80973" w:rsidRPr="009859EE">
        <w:rPr>
          <w:rFonts w:ascii="Garamond" w:hAnsi="Garamond"/>
        </w:rPr>
        <w:instrText>ADDIN CSL_CITATION {"citationItems":[{"id":"ITEM-1","itemData":{"URL":"https://www.voaindonesia.com/a/sepanjang-2021-bnn-ungkap-760-kasus-tindak-pidana-narkoba-/6375450.html","accessed":{"date-parts":[["2023","7","27"]]},"author":[{"dropping-particle":"","family":"Yoanes Litha","given":"","non-dropping-particle":"","parse-names":false,"suffix":""}],"id":"ITEM-1","issued":{"date-parts":[["2020"]]},"title":"Sepanjang 2021, BNN Ungkap 760 Kasus Tindak Pidana Narkoba","type":"webpage"},"uris":["http://www.mendeley.com/documents/?uuid=4f48a2ae-f01f-3a61-bf83-5274dd6d1d11"]}],"mendeley":{"formattedCitation":"Yoanes Litha, “Sepanjang 2021, BNN Ungkap 760 Kasus Tindak Pidana Narkoba,” 2020, https://www.voaindonesia.com/a/sepanjang-2021-bnn-ungkap-760-kasus-tindak-pidana-narkoba-/6375450.html.","plainTextFormattedCitation":"Yoanes Litha, “Sepanjang 2021, BNN Ungkap 760 Kasus Tindak Pidana Narkoba,” 2020, https://www.voaindonesia.com/a/sepanjang-2021-bnn-ungkap-760-kasus-tindak-pidana-narkoba-/6375450.html.","previouslyFormattedCitation":"Yoanes Litha, “Sepanjang 2021, BNN Ungkap 760 Kasus Tindak Pidana Narkoba,” 2020, https://www.voaindonesia.com/a/sepanjang-2021-bnn-ungkap-760-kasus-tindak-pidana-narkoba-/6375450.html."},"properties":{"noteIndex":3},"schema":"https://github.com/citation-style-language/schema/raw/master/csl-citation.json"}</w:instrText>
      </w:r>
      <w:r w:rsidRPr="009859EE">
        <w:rPr>
          <w:rFonts w:ascii="Garamond" w:hAnsi="Garamond"/>
        </w:rPr>
        <w:fldChar w:fldCharType="separate"/>
      </w:r>
      <w:r w:rsidR="00C3751E" w:rsidRPr="009859EE">
        <w:rPr>
          <w:rFonts w:ascii="Garamond" w:hAnsi="Garamond"/>
          <w:noProof/>
        </w:rPr>
        <w:t xml:space="preserve"> Yoanes Litha, "Throughout 2021, BNN Reveals 760 Cases of Drug Crimes," 2020, https://www.voaindonesia.com/a/sepanjang-2021-bnn-ungkap-760-kasus-tindak-pidana-narkoba-/6375450.html.</w:t>
      </w:r>
      <w:r w:rsidRPr="009859EE">
        <w:rPr>
          <w:rFonts w:ascii="Garamond" w:hAnsi="Garamond"/>
        </w:rPr>
        <w:fldChar w:fldCharType="end"/>
      </w:r>
    </w:p>
  </w:footnote>
  <w:footnote w:id="5">
    <w:p w14:paraId="7FD370B7" w14:textId="4205CDD2" w:rsidR="00C80973" w:rsidRPr="009859EE" w:rsidRDefault="00C80973" w:rsidP="008B039D">
      <w:pPr>
        <w:pStyle w:val="FootnoteText"/>
        <w:ind w:firstLine="567"/>
        <w:jc w:val="both"/>
        <w:rPr>
          <w:rFonts w:ascii="Garamond" w:hAnsi="Garamond"/>
          <w:lang w:val="en-US"/>
        </w:rPr>
      </w:pPr>
      <w:r w:rsidRPr="009859EE">
        <w:rPr>
          <w:rStyle w:val="FootnoteReference"/>
          <w:rFonts w:ascii="Garamond" w:hAnsi="Garamond"/>
        </w:rPr>
        <w:footnoteRef/>
      </w:r>
      <w:r w:rsidRPr="009859EE">
        <w:rPr>
          <w:rFonts w:ascii="Garamond" w:hAnsi="Garamond"/>
        </w:rPr>
        <w:t xml:space="preserve"> </w:t>
      </w:r>
      <w:r w:rsidRPr="009859EE">
        <w:rPr>
          <w:rFonts w:ascii="Garamond" w:hAnsi="Garamond"/>
        </w:rPr>
        <w:fldChar w:fldCharType="begin" w:fldLock="1"/>
      </w:r>
      <w:r w:rsidR="00D8275D" w:rsidRPr="009859EE">
        <w:rPr>
          <w:rFonts w:ascii="Garamond" w:hAnsi="Garamond"/>
        </w:rPr>
        <w:instrText>ADDIN CSL_CITATION {"citationItems":[{"id":"ITEM-1","itemData":{"ISBN":"978-979-3599-13-7","abstract":"Perlindungan data pribadi sampai saat ini belum diatur secara khusus oleh undang-undang, padahal kebutuhan akan Undang-Undang Perlindungan Data Pribadi menjadi sangat krusial contohnya dalam kasus kebocoran data pribadi konsumen Tokopedia. Ketiadaan Undang-Undang Perlindungan Data Pribadi menimbulkan pertanyaan bagaimana pertanggungjawaban Tokopedia terkait bocornya data pribadi konsumen. Indonesia seharusnya mampu memberikan perlindungan data pribadi yang diamanatkan konstitusi. Indonesia harus memastikan bahwa data pribadi dilindungi oleh undangundang dan setiap pelanggaran dan kelalaian terhadap data pribadi memiliki akibat hukum yang jelas.  Metode penelitian yang digunakan adalah metode penelitian normatif dengan pendekatan perundangundangan (statute approach). Hasil dari penelitian nampak bahwa Tokopedia bertanggungjawab atas kebocoran data pribadi konsumennya dan atas kelalaian tersebut konsumen dapat mengajukan aduan ke menteri yang menyelenggarakan urusan di bidang perdagangan atau sengketa dapat diselesaikan melalui jalur litigasi atau pun non-litigasi. Saran dalam penelitiani ni adalah pemerintah perlu segera menyelesaikan Rancangan Undang-Undang Perlindungan Data Pribadi supaya menciptakan kepastian dan perlindungan terhadap data pribadi konsumen.","author":[{"dropping-particle":"","family":"Fathur Fakultas Hukum","given":"Muhammad","non-dropping-particle":"","parse-names":false,"suffix":""},{"dropping-particle":"","family":"Pembangunan Nasional Veteran Jakarta Jl Fatmawati Raya Nomor","given":"Universitas RS","non-dropping-particle":"","parse-names":false,"suffix":""},{"dropping-particle":"","family":"Labu","given":"Pondok","non-dropping-particle":"","parse-names":false,"suffix":""}],"container-title":"National Conference on Law Studies (NCOLS)","id":"ITEM-1","issue":"1","issued":{"date-parts":[["2020","11","19"]]},"page":"43-60","title":"TANGGUNG JAWAB TOKOPEDIA TERHADAP  KEBOCORAN DATA PRIBADI KONSUMEN","type":"article-journal","volume":"2"},"uris":["http://www.mendeley.com/documents/?uuid=105e85dc-b8e4-3f98-b6d7-4163f92a27c7"]}],"mendeley":{"formattedCitation":"Muhammad Fathur Fakultas Hukum, Universitas RS Pembangunan Nasional Veteran Jakarta Jl Fatmawati Raya Nomor, and Pondok Labu, “TANGGUNG JAWAB TOKOPEDIA TERHADAP  KEBOCORAN DATA PRIBADI KONSUMEN,” &lt;i&gt;National Conference on Law Studies (NCOLS)&lt;/i&gt; 2, no. 1 (November 19, 2020): 43–60, https://conference.upnvj.ac.id/index.php/ncols/article/view/1345.","plainTextFormattedCitation":"Muhammad Fathur Fakultas Hukum, Universitas RS Pembangunan Nasional Veteran Jakarta Jl Fatmawati Raya Nomor, and Pondok Labu, “TANGGUNG JAWAB TOKOPEDIA TERHADAP  KEBOCORAN DATA PRIBADI KONSUMEN,” National Conference on Law Studies (NCOLS) 2, no. 1 (November 19, 2020): 43–60, https://conference.upnvj.ac.id/index.php/ncols/article/view/1345.","previouslyFormattedCitation":"Muhammad Fathur Fakultas Hukum, Universitas RS Pembangunan Nasional Veteran Jakarta Jl Fatmawati Raya Nomor, and Pondok Labu, “TANGGUNG JAWAB TOKOPEDIA TERHADAP  KEBOCORAN DATA PRIBADI KONSUMEN,” &lt;i&gt;National Conference on Law Studies (NCOLS)&lt;/i&gt; 2, no. 1 (November 19, 2020): 43–60, https://conference.upnvj.ac.id/index.php/ncols/article/view/1345."},"properties":{"noteIndex":4},"schema":"https://github.com/citation-style-language/schema/raw/master/csl-citation.json"}</w:instrText>
      </w:r>
      <w:r w:rsidRPr="009859EE">
        <w:rPr>
          <w:rFonts w:ascii="Garamond" w:hAnsi="Garamond"/>
        </w:rPr>
        <w:fldChar w:fldCharType="separate"/>
      </w:r>
      <w:r w:rsidR="00C3751E" w:rsidRPr="009859EE">
        <w:rPr>
          <w:rFonts w:ascii="Garamond" w:eastAsia="Calibri" w:hAnsi="Garamond" w:cs="Times New Roman"/>
          <w:noProof/>
          <w:sz w:val="22"/>
          <w:szCs w:val="22"/>
        </w:rPr>
        <w:t xml:space="preserve"> </w:t>
      </w:r>
      <w:r w:rsidR="00C3751E" w:rsidRPr="009859EE">
        <w:rPr>
          <w:rFonts w:ascii="Garamond" w:hAnsi="Garamond"/>
          <w:noProof/>
        </w:rPr>
        <w:t xml:space="preserve">Muhammad Fathur Faculty of Law, University of Jakarta Veteran National Development Hospital Jl Fatmawati Raya Nomor, and Pondok Labu, "TOKOPEDIA'S RESPONSIBILITY FOR THE LEAKAGE OF CONSUMER PERSONAL DATA," </w:t>
      </w:r>
      <w:r w:rsidR="00C3751E" w:rsidRPr="009859EE">
        <w:rPr>
          <w:rFonts w:ascii="Garamond" w:hAnsi="Garamond"/>
          <w:i/>
          <w:noProof/>
        </w:rPr>
        <w:t>National Conference on Law Studies (NCOLS)</w:t>
      </w:r>
      <w:r w:rsidR="00C3751E" w:rsidRPr="009859EE">
        <w:rPr>
          <w:rFonts w:ascii="Garamond" w:hAnsi="Garamond"/>
          <w:noProof/>
        </w:rPr>
        <w:t xml:space="preserve"> 2, no. 1 (November 19, 2020): 43–60, https://conference.upnvj.ac.id/index.php/ncols/article/view/1345.</w:t>
      </w:r>
      <w:r w:rsidRPr="009859EE">
        <w:rPr>
          <w:rFonts w:ascii="Garamond" w:hAnsi="Garamond"/>
        </w:rP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C0C36" w14:textId="77777777" w:rsidR="003B3ACE" w:rsidRDefault="003B3A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B5E4A" w14:textId="700BC41E" w:rsidR="00A60C6C" w:rsidRDefault="00C2137C">
    <w:pPr>
      <w:pStyle w:val="Header"/>
    </w:pPr>
    <w:r>
      <w:rPr>
        <w:noProof/>
      </w:rPr>
      <mc:AlternateContent>
        <mc:Choice Requires="wps">
          <w:drawing>
            <wp:anchor distT="0" distB="0" distL="114300" distR="114300" simplePos="0" relativeHeight="251659264" behindDoc="0" locked="0" layoutInCell="1" allowOverlap="1" wp14:anchorId="0E6FA4F1" wp14:editId="00060C09">
              <wp:simplePos x="0" y="0"/>
              <wp:positionH relativeFrom="column">
                <wp:posOffset>1646555</wp:posOffset>
              </wp:positionH>
              <wp:positionV relativeFrom="paragraph">
                <wp:posOffset>-68580</wp:posOffset>
              </wp:positionV>
              <wp:extent cx="4502150" cy="1060450"/>
              <wp:effectExtent l="0" t="0" r="12700" b="25400"/>
              <wp:wrapNone/>
              <wp:docPr id="502973406" name="Text Box 2"/>
              <wp:cNvGraphicFramePr/>
              <a:graphic xmlns:a="http://schemas.openxmlformats.org/drawingml/2006/main">
                <a:graphicData uri="http://schemas.microsoft.com/office/word/2010/wordprocessingShape">
                  <wps:wsp>
                    <wps:cNvSpPr txBox="1"/>
                    <wps:spPr>
                      <a:xfrm>
                        <a:off x="0" y="0"/>
                        <a:ext cx="4502150" cy="1060450"/>
                      </a:xfrm>
                      <a:prstGeom prst="rect">
                        <a:avLst/>
                      </a:prstGeom>
                      <a:solidFill>
                        <a:schemeClr val="accent4">
                          <a:lumMod val="50000"/>
                        </a:schemeClr>
                      </a:solidFill>
                      <a:ln w="6350">
                        <a:solidFill>
                          <a:prstClr val="black"/>
                        </a:solidFill>
                      </a:ln>
                    </wps:spPr>
                    <wps:txbx>
                      <w:txbxContent>
                        <w:p w14:paraId="5CB45C54" w14:textId="582240F2" w:rsidR="00C2137C" w:rsidRPr="00F62F5B" w:rsidRDefault="00C2137C" w:rsidP="00F62F5B">
                          <w:pPr>
                            <w:spacing w:after="0" w:line="240" w:lineRule="auto"/>
                            <w:jc w:val="right"/>
                            <w:rPr>
                              <w:rFonts w:ascii="Adobe Gothic Std B" w:eastAsia="Adobe Gothic Std B" w:hAnsi="Adobe Gothic Std B"/>
                              <w:color w:val="FFFF00"/>
                              <w:sz w:val="40"/>
                              <w:szCs w:val="40"/>
                            </w:rPr>
                          </w:pPr>
                          <w:r w:rsidRPr="00F62F5B">
                            <w:rPr>
                              <w:rFonts w:ascii="Adobe Gothic Std B" w:eastAsia="Adobe Gothic Std B" w:hAnsi="Adobe Gothic Std B"/>
                              <w:color w:val="FFFF00"/>
                              <w:sz w:val="40"/>
                              <w:szCs w:val="40"/>
                            </w:rPr>
                            <w:t>Journal Critical Legal System (JCLS)</w:t>
                          </w:r>
                        </w:p>
                        <w:p w14:paraId="349D4846" w14:textId="56691339" w:rsidR="00C2137C" w:rsidRPr="00F62F5B" w:rsidRDefault="00C2137C" w:rsidP="00F62F5B">
                          <w:pPr>
                            <w:spacing w:after="0" w:line="240" w:lineRule="auto"/>
                            <w:jc w:val="right"/>
                            <w:rPr>
                              <w:b/>
                              <w:bCs/>
                              <w:color w:val="FFFFFF" w:themeColor="background1"/>
                              <w:sz w:val="28"/>
                              <w:szCs w:val="28"/>
                            </w:rPr>
                          </w:pPr>
                          <w:r w:rsidRPr="00F62F5B">
                            <w:rPr>
                              <w:b/>
                              <w:bCs/>
                              <w:color w:val="FFFFFF" w:themeColor="background1"/>
                              <w:sz w:val="28"/>
                              <w:szCs w:val="28"/>
                            </w:rPr>
                            <w:t>Volume 1: Issue 1 April 2026</w:t>
                          </w:r>
                        </w:p>
                        <w:p w14:paraId="0214AB0F" w14:textId="26D3075E" w:rsidR="00C2137C" w:rsidRPr="00F62F5B" w:rsidRDefault="00C2137C" w:rsidP="00F62F5B">
                          <w:pPr>
                            <w:spacing w:after="0" w:line="240" w:lineRule="auto"/>
                            <w:jc w:val="right"/>
                            <w:rPr>
                              <w:color w:val="FFFFFF" w:themeColor="background1"/>
                            </w:rPr>
                          </w:pPr>
                          <w:r w:rsidRPr="00F62F5B">
                            <w:rPr>
                              <w:color w:val="FFFFFF" w:themeColor="background1"/>
                            </w:rPr>
                            <w:t>Research Legal System Indonesia’s Press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E6FA4F1" id="_x0000_t202" coordsize="21600,21600" o:spt="202" path="m,l,21600r21600,l21600,xe">
              <v:stroke joinstyle="miter"/>
              <v:path gradientshapeok="t" o:connecttype="rect"/>
            </v:shapetype>
            <v:shape id="Text Box 2" o:spid="_x0000_s1026" type="#_x0000_t202" style="position:absolute;margin-left:129.65pt;margin-top:-5.4pt;width:354.5pt;height:83.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YXlSQIAAKUEAAAOAAAAZHJzL2Uyb0RvYy54bWysVE1v2zAMvQ/YfxB0X2xnSbYZcYosRYYB&#10;WVsgHXpWZCk2JouapMTufv0o2flYu9OwHBSKpB7JR9Lzm65R5Cisq0EXNBullAjNoaz1vqDfH9fv&#10;PlLiPNMlU6BFQZ+FozeLt2/mrcnFGCpQpbAEQbTLW1PQynuTJ4njlWiYG4ERGo0SbMM8Xu0+KS1r&#10;Eb1RyThNZ0kLtjQWuHAOtbe9kS4ivpSC+3spnfBEFRRz8/G08dyFM1nMWb63zFQ1H9Jg/5BFw2qN&#10;Qc9Qt8wzcrD1K6im5hYcSD/i0CQgZc1FrAGrydIX1WwrZkSsBclx5kyT+3+w/O64NQ+W+O4zdNjA&#10;QEhrXO5QGerppG3CP2ZK0I4UPp9pE50nHJWTaTrOpmjiaMvSWYqKgJNcnhvr/BcBDQlCQS32JdLF&#10;jhvne9eTS4jmQNXlulYqXsIsiJWy5Miwi4xzof0kPleH5huUvX6a4m8IG8cnPIlJ/IGmNGkLOnuP&#10;Kb6KFFI4x9kpxn+c8C75YFFKI+yFpCD5btcNzO2gfEZCLfSz5gxf14i7Yc4/MIvDhUThwvh7PKQC&#10;TAYGiZIK7K+/6YM/9hytlLQ4rAV1Pw/MCkrUV43T8CmbTMJ0x8tk+mGMF3tt2V1b9KFZATKZ4Woa&#10;HsXg79VJlBaaJ9yrZYiKJqY5xi6oP4kr368Q7iUXy2V0wnk2zG/01vAAHcgNfD52T8yaoe8eR+YO&#10;TmPN8hft733DSw3LgwdZx9kIBPesDrzjLsTGDnsblu36Hr0uX5fFbwAAAP//AwBQSwMEFAAGAAgA&#10;AAAhAPJTFofgAAAACwEAAA8AAABkcnMvZG93bnJldi54bWxMjz1vwjAQhvdK/Q/WVeoGTlIRhRAH&#10;ISSqMjAUOnR04iOxiD8UGwj/vtepHe/u0XvPW60nM7AbjkE7KyCdJ8DQtk5p2wn4Ou1mBbAQpVVy&#10;cBYFPDDAun5+qmSp3N1+4u0YO0YhNpRSQB+jLzkPbY9GhrnzaOl2dqORkcax42qUdwo3A8+SJOdG&#10;aksfeulx22N7OV6NAP19SD92xcY3xcP3envYv1/cXojXl2mzAhZxin8w/OqTOtTk1LirVYENArLF&#10;8o1QAbM0oQ5ELPOCNg2hizwDXlf8f4f6BwAA//8DAFBLAQItABQABgAIAAAAIQC2gziS/gAAAOEB&#10;AAATAAAAAAAAAAAAAAAAAAAAAABbQ29udGVudF9UeXBlc10ueG1sUEsBAi0AFAAGAAgAAAAhADj9&#10;If/WAAAAlAEAAAsAAAAAAAAAAAAAAAAALwEAAF9yZWxzLy5yZWxzUEsBAi0AFAAGAAgAAAAhAEkR&#10;heVJAgAApQQAAA4AAAAAAAAAAAAAAAAALgIAAGRycy9lMm9Eb2MueG1sUEsBAi0AFAAGAAgAAAAh&#10;APJTFofgAAAACwEAAA8AAAAAAAAAAAAAAAAAowQAAGRycy9kb3ducmV2LnhtbFBLBQYAAAAABAAE&#10;APMAAACwBQAAAAA=&#10;" fillcolor="#7f5f00 [1607]" strokeweight=".5pt">
              <v:textbox>
                <w:txbxContent>
                  <w:p w14:paraId="5CB45C54" w14:textId="582240F2" w:rsidR="00C2137C" w:rsidRPr="00F62F5B" w:rsidRDefault="00C2137C" w:rsidP="00F62F5B">
                    <w:pPr>
                      <w:spacing w:after="0" w:line="240" w:lineRule="auto"/>
                      <w:jc w:val="right"/>
                      <w:rPr>
                        <w:rFonts w:ascii="Adobe Gothic Std B" w:eastAsia="Adobe Gothic Std B" w:hAnsi="Adobe Gothic Std B"/>
                        <w:color w:val="FFFF00"/>
                        <w:sz w:val="40"/>
                        <w:szCs w:val="40"/>
                      </w:rPr>
                    </w:pPr>
                    <w:r w:rsidRPr="00F62F5B">
                      <w:rPr>
                        <w:rFonts w:ascii="Adobe Gothic Std B" w:eastAsia="Adobe Gothic Std B" w:hAnsi="Adobe Gothic Std B"/>
                        <w:color w:val="FFFF00"/>
                        <w:sz w:val="40"/>
                        <w:szCs w:val="40"/>
                      </w:rPr>
                      <w:t>Journal Critical Legal System (JCLS)</w:t>
                    </w:r>
                  </w:p>
                  <w:p w14:paraId="349D4846" w14:textId="56691339" w:rsidR="00C2137C" w:rsidRPr="00F62F5B" w:rsidRDefault="00C2137C" w:rsidP="00F62F5B">
                    <w:pPr>
                      <w:spacing w:after="0" w:line="240" w:lineRule="auto"/>
                      <w:jc w:val="right"/>
                      <w:rPr>
                        <w:b/>
                        <w:bCs/>
                        <w:color w:val="FFFFFF" w:themeColor="background1"/>
                        <w:sz w:val="28"/>
                        <w:szCs w:val="28"/>
                      </w:rPr>
                    </w:pPr>
                    <w:r w:rsidRPr="00F62F5B">
                      <w:rPr>
                        <w:b/>
                        <w:bCs/>
                        <w:color w:val="FFFFFF" w:themeColor="background1"/>
                        <w:sz w:val="28"/>
                        <w:szCs w:val="28"/>
                      </w:rPr>
                      <w:t>Volume 1: Issue 1 April 2026</w:t>
                    </w:r>
                  </w:p>
                  <w:p w14:paraId="0214AB0F" w14:textId="26D3075E" w:rsidR="00C2137C" w:rsidRPr="00F62F5B" w:rsidRDefault="00C2137C" w:rsidP="00F62F5B">
                    <w:pPr>
                      <w:spacing w:after="0" w:line="240" w:lineRule="auto"/>
                      <w:jc w:val="right"/>
                      <w:rPr>
                        <w:color w:val="FFFFFF" w:themeColor="background1"/>
                      </w:rPr>
                    </w:pPr>
                    <w:r w:rsidRPr="00F62F5B">
                      <w:rPr>
                        <w:color w:val="FFFFFF" w:themeColor="background1"/>
                      </w:rPr>
                      <w:t>Research Legal System Indonesia’s Press</w:t>
                    </w:r>
                  </w:p>
                </w:txbxContent>
              </v:textbox>
            </v:shape>
          </w:pict>
        </mc:Fallback>
      </mc:AlternateContent>
    </w:r>
    <w:r>
      <w:rPr>
        <w:noProof/>
      </w:rPr>
      <w:drawing>
        <wp:inline distT="0" distB="0" distL="0" distR="0" wp14:anchorId="63CAEADD" wp14:editId="23346713">
          <wp:extent cx="1219200" cy="1076746"/>
          <wp:effectExtent l="0" t="0" r="0" b="9525"/>
          <wp:docPr id="10150418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041838" name="Picture 1015041838"/>
                  <pic:cNvPicPr/>
                </pic:nvPicPr>
                <pic:blipFill>
                  <a:blip r:embed="rId1">
                    <a:extLst>
                      <a:ext uri="{28A0092B-C50C-407E-A947-70E740481C1C}">
                        <a14:useLocalDpi xmlns:a14="http://schemas.microsoft.com/office/drawing/2010/main" val="0"/>
                      </a:ext>
                    </a:extLst>
                  </a:blip>
                  <a:stretch>
                    <a:fillRect/>
                  </a:stretch>
                </pic:blipFill>
                <pic:spPr>
                  <a:xfrm>
                    <a:off x="0" y="0"/>
                    <a:ext cx="1223987" cy="108097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1B024" w14:textId="77777777" w:rsidR="003B3ACE" w:rsidRDefault="003B3A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12D78"/>
    <w:multiLevelType w:val="hybridMultilevel"/>
    <w:tmpl w:val="8FF429A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192A1C74"/>
    <w:multiLevelType w:val="hybridMultilevel"/>
    <w:tmpl w:val="577491E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94C3CA2"/>
    <w:multiLevelType w:val="hybridMultilevel"/>
    <w:tmpl w:val="EA9A9B4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235C2E24"/>
    <w:multiLevelType w:val="hybridMultilevel"/>
    <w:tmpl w:val="E706613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36A6516"/>
    <w:multiLevelType w:val="hybridMultilevel"/>
    <w:tmpl w:val="E7066132"/>
    <w:lvl w:ilvl="0" w:tplc="FFFFFFFF">
      <w:start w:val="1"/>
      <w:numFmt w:val="decimal"/>
      <w:lvlText w:val="%1."/>
      <w:lvlJc w:val="left"/>
      <w:pPr>
        <w:ind w:left="9433"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9F67335"/>
    <w:multiLevelType w:val="hybridMultilevel"/>
    <w:tmpl w:val="5D40C58C"/>
    <w:lvl w:ilvl="0" w:tplc="4244A7C6">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3CB230C"/>
    <w:multiLevelType w:val="hybridMultilevel"/>
    <w:tmpl w:val="E706613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5D3261C"/>
    <w:multiLevelType w:val="hybridMultilevel"/>
    <w:tmpl w:val="8FF429A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410E0965"/>
    <w:multiLevelType w:val="hybridMultilevel"/>
    <w:tmpl w:val="577491E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4CF057CC"/>
    <w:multiLevelType w:val="hybridMultilevel"/>
    <w:tmpl w:val="DB3E579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52485F5E"/>
    <w:multiLevelType w:val="hybridMultilevel"/>
    <w:tmpl w:val="58AAE98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6925081D"/>
    <w:multiLevelType w:val="hybridMultilevel"/>
    <w:tmpl w:val="EBE2CCD0"/>
    <w:lvl w:ilvl="0" w:tplc="040E0A0C">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FF313DA"/>
    <w:multiLevelType w:val="hybridMultilevel"/>
    <w:tmpl w:val="090672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2888601">
    <w:abstractNumId w:val="10"/>
  </w:num>
  <w:num w:numId="2" w16cid:durableId="1726104959">
    <w:abstractNumId w:val="10"/>
  </w:num>
  <w:num w:numId="3" w16cid:durableId="1766655958">
    <w:abstractNumId w:val="9"/>
  </w:num>
  <w:num w:numId="4" w16cid:durableId="1306163391">
    <w:abstractNumId w:val="11"/>
  </w:num>
  <w:num w:numId="5" w16cid:durableId="1115103302">
    <w:abstractNumId w:val="4"/>
  </w:num>
  <w:num w:numId="6" w16cid:durableId="959259833">
    <w:abstractNumId w:val="6"/>
  </w:num>
  <w:num w:numId="7" w16cid:durableId="231699831">
    <w:abstractNumId w:val="12"/>
  </w:num>
  <w:num w:numId="8" w16cid:durableId="1874535527">
    <w:abstractNumId w:val="3"/>
  </w:num>
  <w:num w:numId="9" w16cid:durableId="741832327">
    <w:abstractNumId w:val="5"/>
  </w:num>
  <w:num w:numId="10" w16cid:durableId="1906604484">
    <w:abstractNumId w:val="7"/>
  </w:num>
  <w:num w:numId="11" w16cid:durableId="504368380">
    <w:abstractNumId w:val="2"/>
  </w:num>
  <w:num w:numId="12" w16cid:durableId="67969051">
    <w:abstractNumId w:val="0"/>
  </w:num>
  <w:num w:numId="13" w16cid:durableId="247814409">
    <w:abstractNumId w:val="8"/>
  </w:num>
  <w:num w:numId="14" w16cid:durableId="17688833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B97"/>
    <w:rsid w:val="00000061"/>
    <w:rsid w:val="0001795F"/>
    <w:rsid w:val="0002604E"/>
    <w:rsid w:val="00034D7D"/>
    <w:rsid w:val="000454F8"/>
    <w:rsid w:val="00052C5B"/>
    <w:rsid w:val="0007070A"/>
    <w:rsid w:val="000742A1"/>
    <w:rsid w:val="0007662D"/>
    <w:rsid w:val="00084EB8"/>
    <w:rsid w:val="00087A0F"/>
    <w:rsid w:val="00090B0A"/>
    <w:rsid w:val="00094369"/>
    <w:rsid w:val="000A0F4D"/>
    <w:rsid w:val="000A42C6"/>
    <w:rsid w:val="000C124B"/>
    <w:rsid w:val="000C7B52"/>
    <w:rsid w:val="000D1333"/>
    <w:rsid w:val="000D7F7A"/>
    <w:rsid w:val="000E5585"/>
    <w:rsid w:val="00103AA1"/>
    <w:rsid w:val="00126A8D"/>
    <w:rsid w:val="0014073E"/>
    <w:rsid w:val="00141718"/>
    <w:rsid w:val="001504C5"/>
    <w:rsid w:val="00154725"/>
    <w:rsid w:val="00170C19"/>
    <w:rsid w:val="00171784"/>
    <w:rsid w:val="00180151"/>
    <w:rsid w:val="001A2511"/>
    <w:rsid w:val="001B1B39"/>
    <w:rsid w:val="001B7C61"/>
    <w:rsid w:val="001D3C08"/>
    <w:rsid w:val="001E2D6C"/>
    <w:rsid w:val="00200DD1"/>
    <w:rsid w:val="00205D94"/>
    <w:rsid w:val="0021560D"/>
    <w:rsid w:val="002245AE"/>
    <w:rsid w:val="002263E6"/>
    <w:rsid w:val="00237092"/>
    <w:rsid w:val="00241661"/>
    <w:rsid w:val="00243DA1"/>
    <w:rsid w:val="0027597A"/>
    <w:rsid w:val="002925AD"/>
    <w:rsid w:val="00297C7D"/>
    <w:rsid w:val="002A13AF"/>
    <w:rsid w:val="002B6FD3"/>
    <w:rsid w:val="002C6D9E"/>
    <w:rsid w:val="002D303A"/>
    <w:rsid w:val="002D3270"/>
    <w:rsid w:val="002F3E78"/>
    <w:rsid w:val="002F4846"/>
    <w:rsid w:val="00300382"/>
    <w:rsid w:val="003210BD"/>
    <w:rsid w:val="00336005"/>
    <w:rsid w:val="00336C0D"/>
    <w:rsid w:val="00347C21"/>
    <w:rsid w:val="00352B0F"/>
    <w:rsid w:val="003559C3"/>
    <w:rsid w:val="00370F0D"/>
    <w:rsid w:val="00391311"/>
    <w:rsid w:val="00394B23"/>
    <w:rsid w:val="003A1DF3"/>
    <w:rsid w:val="003A50EA"/>
    <w:rsid w:val="003B3ACE"/>
    <w:rsid w:val="003B4CD6"/>
    <w:rsid w:val="003B7751"/>
    <w:rsid w:val="003D75B8"/>
    <w:rsid w:val="003E03EA"/>
    <w:rsid w:val="003E511F"/>
    <w:rsid w:val="00412B1D"/>
    <w:rsid w:val="00423DD9"/>
    <w:rsid w:val="00426633"/>
    <w:rsid w:val="00447B0A"/>
    <w:rsid w:val="00471148"/>
    <w:rsid w:val="004B006B"/>
    <w:rsid w:val="004C7C70"/>
    <w:rsid w:val="004D0049"/>
    <w:rsid w:val="004D1301"/>
    <w:rsid w:val="004D48DF"/>
    <w:rsid w:val="004E08E7"/>
    <w:rsid w:val="004E4321"/>
    <w:rsid w:val="004E6973"/>
    <w:rsid w:val="00504ADD"/>
    <w:rsid w:val="005105F5"/>
    <w:rsid w:val="005225A1"/>
    <w:rsid w:val="00542D5E"/>
    <w:rsid w:val="00545AE1"/>
    <w:rsid w:val="00546F78"/>
    <w:rsid w:val="00565EAA"/>
    <w:rsid w:val="0059724C"/>
    <w:rsid w:val="005A1522"/>
    <w:rsid w:val="005B1966"/>
    <w:rsid w:val="005B4E83"/>
    <w:rsid w:val="005B73FB"/>
    <w:rsid w:val="005C3863"/>
    <w:rsid w:val="005F4F99"/>
    <w:rsid w:val="00612DBE"/>
    <w:rsid w:val="00627F23"/>
    <w:rsid w:val="00637F63"/>
    <w:rsid w:val="006546C9"/>
    <w:rsid w:val="00682C1C"/>
    <w:rsid w:val="0068643B"/>
    <w:rsid w:val="00691EBF"/>
    <w:rsid w:val="006A7D94"/>
    <w:rsid w:val="006B75F4"/>
    <w:rsid w:val="006C299F"/>
    <w:rsid w:val="006C3778"/>
    <w:rsid w:val="006E1B48"/>
    <w:rsid w:val="00702DE8"/>
    <w:rsid w:val="00710F76"/>
    <w:rsid w:val="00713EFD"/>
    <w:rsid w:val="00716E97"/>
    <w:rsid w:val="007430CD"/>
    <w:rsid w:val="00745711"/>
    <w:rsid w:val="0075262E"/>
    <w:rsid w:val="00795F05"/>
    <w:rsid w:val="007B0ABA"/>
    <w:rsid w:val="007C260D"/>
    <w:rsid w:val="007C5C55"/>
    <w:rsid w:val="007F35D1"/>
    <w:rsid w:val="007F6B5F"/>
    <w:rsid w:val="007F7413"/>
    <w:rsid w:val="00801552"/>
    <w:rsid w:val="00807704"/>
    <w:rsid w:val="00832121"/>
    <w:rsid w:val="00833892"/>
    <w:rsid w:val="00856833"/>
    <w:rsid w:val="008601F7"/>
    <w:rsid w:val="00890811"/>
    <w:rsid w:val="0089376B"/>
    <w:rsid w:val="008B039D"/>
    <w:rsid w:val="008C0031"/>
    <w:rsid w:val="008C290E"/>
    <w:rsid w:val="008C31CB"/>
    <w:rsid w:val="008C528F"/>
    <w:rsid w:val="008C640A"/>
    <w:rsid w:val="008E0E67"/>
    <w:rsid w:val="00900A96"/>
    <w:rsid w:val="00904926"/>
    <w:rsid w:val="00910063"/>
    <w:rsid w:val="00910C74"/>
    <w:rsid w:val="00912E47"/>
    <w:rsid w:val="009206BA"/>
    <w:rsid w:val="009231CA"/>
    <w:rsid w:val="009267D7"/>
    <w:rsid w:val="00934BBC"/>
    <w:rsid w:val="00961B62"/>
    <w:rsid w:val="00967A34"/>
    <w:rsid w:val="00981498"/>
    <w:rsid w:val="009859EE"/>
    <w:rsid w:val="009872E5"/>
    <w:rsid w:val="00992B6B"/>
    <w:rsid w:val="009B1C9B"/>
    <w:rsid w:val="009C2E42"/>
    <w:rsid w:val="009D04FE"/>
    <w:rsid w:val="009D5FFD"/>
    <w:rsid w:val="009E283B"/>
    <w:rsid w:val="009E35E8"/>
    <w:rsid w:val="009F6658"/>
    <w:rsid w:val="009F7901"/>
    <w:rsid w:val="00A04362"/>
    <w:rsid w:val="00A13228"/>
    <w:rsid w:val="00A2701E"/>
    <w:rsid w:val="00A2716A"/>
    <w:rsid w:val="00A273D3"/>
    <w:rsid w:val="00A3458E"/>
    <w:rsid w:val="00A350F6"/>
    <w:rsid w:val="00A60C6C"/>
    <w:rsid w:val="00A71C7E"/>
    <w:rsid w:val="00A7748E"/>
    <w:rsid w:val="00AA3733"/>
    <w:rsid w:val="00AC05B1"/>
    <w:rsid w:val="00AC0B17"/>
    <w:rsid w:val="00AC1812"/>
    <w:rsid w:val="00AD0C80"/>
    <w:rsid w:val="00AD5B41"/>
    <w:rsid w:val="00AF2702"/>
    <w:rsid w:val="00AF5797"/>
    <w:rsid w:val="00B02CE3"/>
    <w:rsid w:val="00B0716D"/>
    <w:rsid w:val="00B11865"/>
    <w:rsid w:val="00B12930"/>
    <w:rsid w:val="00B13258"/>
    <w:rsid w:val="00B16F64"/>
    <w:rsid w:val="00B2490F"/>
    <w:rsid w:val="00B32DBC"/>
    <w:rsid w:val="00B33978"/>
    <w:rsid w:val="00B3630C"/>
    <w:rsid w:val="00B426A5"/>
    <w:rsid w:val="00B5421A"/>
    <w:rsid w:val="00B70841"/>
    <w:rsid w:val="00B74EC4"/>
    <w:rsid w:val="00B90FAB"/>
    <w:rsid w:val="00B93AB9"/>
    <w:rsid w:val="00B94E6C"/>
    <w:rsid w:val="00B96E30"/>
    <w:rsid w:val="00B97581"/>
    <w:rsid w:val="00BA5448"/>
    <w:rsid w:val="00BA5511"/>
    <w:rsid w:val="00BA6F2F"/>
    <w:rsid w:val="00BB216A"/>
    <w:rsid w:val="00BB3AEB"/>
    <w:rsid w:val="00BC00CD"/>
    <w:rsid w:val="00BC2DF7"/>
    <w:rsid w:val="00BC3F58"/>
    <w:rsid w:val="00BF4CE0"/>
    <w:rsid w:val="00C03854"/>
    <w:rsid w:val="00C132DE"/>
    <w:rsid w:val="00C2137C"/>
    <w:rsid w:val="00C35CDE"/>
    <w:rsid w:val="00C36A61"/>
    <w:rsid w:val="00C3751E"/>
    <w:rsid w:val="00C37C23"/>
    <w:rsid w:val="00C43D0D"/>
    <w:rsid w:val="00C53E01"/>
    <w:rsid w:val="00C57AA6"/>
    <w:rsid w:val="00C737A1"/>
    <w:rsid w:val="00C80973"/>
    <w:rsid w:val="00C87CE6"/>
    <w:rsid w:val="00C938D2"/>
    <w:rsid w:val="00C9394C"/>
    <w:rsid w:val="00C96793"/>
    <w:rsid w:val="00CA08B9"/>
    <w:rsid w:val="00CA524F"/>
    <w:rsid w:val="00CB542D"/>
    <w:rsid w:val="00CB6F83"/>
    <w:rsid w:val="00CC48DF"/>
    <w:rsid w:val="00CD17D5"/>
    <w:rsid w:val="00CD1A86"/>
    <w:rsid w:val="00CD50A1"/>
    <w:rsid w:val="00CE0F0F"/>
    <w:rsid w:val="00CE7FCC"/>
    <w:rsid w:val="00CF0D49"/>
    <w:rsid w:val="00CF76C4"/>
    <w:rsid w:val="00D000B5"/>
    <w:rsid w:val="00D17D7B"/>
    <w:rsid w:val="00D264C5"/>
    <w:rsid w:val="00D35D90"/>
    <w:rsid w:val="00D40048"/>
    <w:rsid w:val="00D506BE"/>
    <w:rsid w:val="00D523E7"/>
    <w:rsid w:val="00D56B89"/>
    <w:rsid w:val="00D600D0"/>
    <w:rsid w:val="00D609DF"/>
    <w:rsid w:val="00D62FDA"/>
    <w:rsid w:val="00D800D8"/>
    <w:rsid w:val="00D8191C"/>
    <w:rsid w:val="00D8275D"/>
    <w:rsid w:val="00D87E46"/>
    <w:rsid w:val="00D95D5C"/>
    <w:rsid w:val="00DA5D44"/>
    <w:rsid w:val="00DB1AD8"/>
    <w:rsid w:val="00DB696A"/>
    <w:rsid w:val="00DC0FA8"/>
    <w:rsid w:val="00DC6C52"/>
    <w:rsid w:val="00DE2B97"/>
    <w:rsid w:val="00DE4293"/>
    <w:rsid w:val="00DE7C76"/>
    <w:rsid w:val="00DF7436"/>
    <w:rsid w:val="00E01756"/>
    <w:rsid w:val="00E059AF"/>
    <w:rsid w:val="00E11632"/>
    <w:rsid w:val="00E24320"/>
    <w:rsid w:val="00E344A3"/>
    <w:rsid w:val="00E361A7"/>
    <w:rsid w:val="00E60C5E"/>
    <w:rsid w:val="00E65BE7"/>
    <w:rsid w:val="00E728E5"/>
    <w:rsid w:val="00E75BFD"/>
    <w:rsid w:val="00E837BA"/>
    <w:rsid w:val="00E879A8"/>
    <w:rsid w:val="00EA7609"/>
    <w:rsid w:val="00EA78BD"/>
    <w:rsid w:val="00EA7E12"/>
    <w:rsid w:val="00EB39B1"/>
    <w:rsid w:val="00EB59FB"/>
    <w:rsid w:val="00ED1C46"/>
    <w:rsid w:val="00ED2291"/>
    <w:rsid w:val="00ED6DE8"/>
    <w:rsid w:val="00EF0E59"/>
    <w:rsid w:val="00F0278F"/>
    <w:rsid w:val="00F155A1"/>
    <w:rsid w:val="00F249C6"/>
    <w:rsid w:val="00F249FB"/>
    <w:rsid w:val="00F3385A"/>
    <w:rsid w:val="00F370FC"/>
    <w:rsid w:val="00F44E5C"/>
    <w:rsid w:val="00F45BE4"/>
    <w:rsid w:val="00F51CE7"/>
    <w:rsid w:val="00F62F5B"/>
    <w:rsid w:val="00F67616"/>
    <w:rsid w:val="00F70150"/>
    <w:rsid w:val="00F72769"/>
    <w:rsid w:val="00F755C6"/>
    <w:rsid w:val="00F82FC6"/>
    <w:rsid w:val="00F94BE7"/>
    <w:rsid w:val="00F96322"/>
    <w:rsid w:val="00FA716F"/>
    <w:rsid w:val="00FB0083"/>
    <w:rsid w:val="00FB25EC"/>
    <w:rsid w:val="00FC1E00"/>
    <w:rsid w:val="00FC37F4"/>
    <w:rsid w:val="00FC4895"/>
    <w:rsid w:val="00FC5373"/>
    <w:rsid w:val="00FD1E75"/>
    <w:rsid w:val="00FD660B"/>
    <w:rsid w:val="00FD66D7"/>
    <w:rsid w:val="00FE7B5C"/>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1F16E3"/>
  <w15:chartTrackingRefBased/>
  <w15:docId w15:val="{85BF2864-F6F2-44AF-945E-D15B155D2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B97"/>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546F7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next w:val="Normal"/>
    <w:link w:val="Heading3Char"/>
    <w:uiPriority w:val="9"/>
    <w:unhideWhenUsed/>
    <w:qFormat/>
    <w:rsid w:val="00BF4CE0"/>
    <w:pPr>
      <w:keepNext/>
      <w:keepLines/>
      <w:pBdr>
        <w:top w:val="nil"/>
        <w:left w:val="nil"/>
        <w:bottom w:val="nil"/>
        <w:right w:val="nil"/>
        <w:between w:val="nil"/>
        <w:bar w:val="nil"/>
      </w:pBdr>
      <w:suppressAutoHyphens/>
      <w:spacing w:before="40" w:after="120" w:line="360" w:lineRule="auto"/>
      <w:ind w:leftChars="-1" w:left="-1" w:hangingChars="1" w:hanging="1"/>
      <w:textDirection w:val="btLr"/>
      <w:textAlignment w:val="top"/>
      <w:outlineLvl w:val="2"/>
    </w:pPr>
    <w:rPr>
      <w:rFonts w:ascii="Times New Roman" w:eastAsia="Times New Roman" w:hAnsi="Times New Roman" w:cs="Calibri"/>
      <w:color w:val="000000"/>
      <w:position w:val="-1"/>
      <w:sz w:val="24"/>
      <w:szCs w:val="24"/>
      <w:bdr w:val="nil"/>
      <w:lang w:val="en-US" w:eastAsia="fi-FI"/>
    </w:rPr>
  </w:style>
  <w:style w:type="paragraph" w:styleId="Heading4">
    <w:name w:val="heading 4"/>
    <w:basedOn w:val="Normal"/>
    <w:next w:val="Normal"/>
    <w:link w:val="Heading4Char"/>
    <w:uiPriority w:val="9"/>
    <w:semiHidden/>
    <w:unhideWhenUsed/>
    <w:qFormat/>
    <w:rsid w:val="0091006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E2B97"/>
    <w:pPr>
      <w:spacing w:before="100" w:beforeAutospacing="1" w:after="100" w:afterAutospacing="1" w:line="240" w:lineRule="auto"/>
    </w:pPr>
    <w:rPr>
      <w:rFonts w:ascii="Times New Roman" w:eastAsia="Times New Roman" w:hAnsi="Times New Roman"/>
      <w:sz w:val="24"/>
      <w:szCs w:val="24"/>
      <w:lang w:eastAsia="pl-PL"/>
    </w:rPr>
  </w:style>
  <w:style w:type="paragraph" w:styleId="ListParagraph">
    <w:name w:val="List Paragraph"/>
    <w:basedOn w:val="Normal"/>
    <w:uiPriority w:val="34"/>
    <w:qFormat/>
    <w:rsid w:val="00DE2B97"/>
    <w:pPr>
      <w:ind w:left="720"/>
      <w:contextualSpacing/>
    </w:pPr>
  </w:style>
  <w:style w:type="paragraph" w:customStyle="1" w:styleId="Autor">
    <w:name w:val="Autor"/>
    <w:basedOn w:val="Normal"/>
    <w:uiPriority w:val="99"/>
    <w:semiHidden/>
    <w:rsid w:val="00DE2B97"/>
    <w:pPr>
      <w:spacing w:after="0" w:line="240" w:lineRule="auto"/>
      <w:jc w:val="center"/>
    </w:pPr>
    <w:rPr>
      <w:rFonts w:ascii="Times New Roman" w:eastAsia="Times New Roman" w:hAnsi="Times New Roman"/>
      <w:szCs w:val="20"/>
      <w:lang w:eastAsia="pl-PL"/>
    </w:rPr>
  </w:style>
  <w:style w:type="paragraph" w:customStyle="1" w:styleId="Instytucja">
    <w:name w:val="Instytucja"/>
    <w:basedOn w:val="Normal"/>
    <w:uiPriority w:val="99"/>
    <w:semiHidden/>
    <w:rsid w:val="00DE2B97"/>
    <w:pPr>
      <w:spacing w:after="120" w:line="240" w:lineRule="auto"/>
      <w:jc w:val="center"/>
    </w:pPr>
    <w:rPr>
      <w:rFonts w:ascii="Times New Roman" w:eastAsia="Times New Roman" w:hAnsi="Times New Roman"/>
      <w:i/>
      <w:szCs w:val="20"/>
      <w:lang w:eastAsia="pl-PL"/>
    </w:rPr>
  </w:style>
  <w:style w:type="paragraph" w:customStyle="1" w:styleId="Streszczenie">
    <w:name w:val="Streszczenie"/>
    <w:basedOn w:val="Normal"/>
    <w:next w:val="Normal"/>
    <w:uiPriority w:val="99"/>
    <w:semiHidden/>
    <w:rsid w:val="00DE2B97"/>
    <w:pPr>
      <w:spacing w:before="40" w:after="40" w:line="240" w:lineRule="auto"/>
      <w:ind w:left="567" w:right="567"/>
      <w:jc w:val="both"/>
    </w:pPr>
    <w:rPr>
      <w:rFonts w:ascii="Times New Roman" w:eastAsia="Times New Roman" w:hAnsi="Times New Roman"/>
      <w:i/>
      <w:szCs w:val="20"/>
      <w:lang w:eastAsia="pl-PL"/>
    </w:rPr>
  </w:style>
  <w:style w:type="paragraph" w:customStyle="1" w:styleId="StreszczTytul">
    <w:name w:val="StreszczTytul"/>
    <w:basedOn w:val="Normal"/>
    <w:next w:val="Streszczenie"/>
    <w:uiPriority w:val="99"/>
    <w:semiHidden/>
    <w:rsid w:val="00DE2B97"/>
    <w:pPr>
      <w:spacing w:before="480" w:after="120" w:line="240" w:lineRule="auto"/>
      <w:jc w:val="center"/>
    </w:pPr>
    <w:rPr>
      <w:rFonts w:ascii="Times New Roman" w:eastAsia="Times New Roman" w:hAnsi="Times New Roman"/>
      <w:b/>
      <w:szCs w:val="20"/>
      <w:lang w:eastAsia="pl-PL"/>
    </w:rPr>
  </w:style>
  <w:style w:type="character" w:styleId="Strong">
    <w:name w:val="Strong"/>
    <w:basedOn w:val="DefaultParagraphFont"/>
    <w:uiPriority w:val="22"/>
    <w:qFormat/>
    <w:rsid w:val="00DE2B97"/>
    <w:rPr>
      <w:b/>
      <w:bCs/>
    </w:rPr>
  </w:style>
  <w:style w:type="character" w:styleId="Emphasis">
    <w:name w:val="Emphasis"/>
    <w:basedOn w:val="DefaultParagraphFont"/>
    <w:uiPriority w:val="20"/>
    <w:qFormat/>
    <w:rsid w:val="00DE2B97"/>
    <w:rPr>
      <w:i/>
      <w:iCs/>
    </w:rPr>
  </w:style>
  <w:style w:type="table" w:styleId="TableGrid">
    <w:name w:val="Table Grid"/>
    <w:basedOn w:val="TableNormal"/>
    <w:uiPriority w:val="39"/>
    <w:rsid w:val="00BB3A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430CD"/>
    <w:rPr>
      <w:rFonts w:cs="Times New Roman"/>
      <w:color w:val="0000FF"/>
      <w:u w:val="single"/>
    </w:rPr>
  </w:style>
  <w:style w:type="paragraph" w:styleId="Footer">
    <w:name w:val="footer"/>
    <w:basedOn w:val="Normal"/>
    <w:link w:val="FooterChar"/>
    <w:uiPriority w:val="99"/>
    <w:rsid w:val="007430CD"/>
    <w:pPr>
      <w:tabs>
        <w:tab w:val="center" w:pos="4536"/>
        <w:tab w:val="right" w:pos="9072"/>
      </w:tabs>
      <w:spacing w:after="0" w:line="240" w:lineRule="auto"/>
      <w:ind w:right="-11"/>
      <w:jc w:val="right"/>
    </w:pPr>
    <w:rPr>
      <w:rFonts w:ascii="Times New Roman" w:eastAsia="Times New Roman" w:hAnsi="Times New Roman"/>
      <w:sz w:val="20"/>
      <w:szCs w:val="20"/>
      <w:lang w:eastAsia="pl-PL"/>
    </w:rPr>
  </w:style>
  <w:style w:type="character" w:customStyle="1" w:styleId="FooterChar">
    <w:name w:val="Footer Char"/>
    <w:basedOn w:val="DefaultParagraphFont"/>
    <w:link w:val="Footer"/>
    <w:uiPriority w:val="99"/>
    <w:rsid w:val="007430CD"/>
    <w:rPr>
      <w:rFonts w:ascii="Times New Roman" w:eastAsia="Times New Roman" w:hAnsi="Times New Roman" w:cs="Times New Roman"/>
      <w:sz w:val="20"/>
      <w:szCs w:val="20"/>
      <w:lang w:eastAsia="pl-PL"/>
    </w:rPr>
  </w:style>
  <w:style w:type="paragraph" w:customStyle="1" w:styleId="BodyText21">
    <w:name w:val="Body Text 21"/>
    <w:basedOn w:val="Normal"/>
    <w:uiPriority w:val="99"/>
    <w:rsid w:val="007430CD"/>
    <w:pPr>
      <w:widowControl w:val="0"/>
      <w:autoSpaceDE w:val="0"/>
      <w:autoSpaceDN w:val="0"/>
      <w:spacing w:before="120" w:after="0" w:line="240" w:lineRule="auto"/>
    </w:pPr>
    <w:rPr>
      <w:rFonts w:ascii="Times New Roman" w:eastAsia="Times New Roman" w:hAnsi="Times New Roman"/>
      <w:b/>
      <w:bCs/>
      <w:sz w:val="28"/>
      <w:szCs w:val="28"/>
      <w:lang w:eastAsia="pl-PL"/>
    </w:rPr>
  </w:style>
  <w:style w:type="character" w:customStyle="1" w:styleId="UnresolvedMention1">
    <w:name w:val="Unresolved Mention1"/>
    <w:basedOn w:val="DefaultParagraphFont"/>
    <w:uiPriority w:val="99"/>
    <w:semiHidden/>
    <w:unhideWhenUsed/>
    <w:rsid w:val="001A2511"/>
    <w:rPr>
      <w:color w:val="605E5C"/>
      <w:shd w:val="clear" w:color="auto" w:fill="E1DFDD"/>
    </w:rPr>
  </w:style>
  <w:style w:type="character" w:styleId="CommentReference">
    <w:name w:val="annotation reference"/>
    <w:basedOn w:val="DefaultParagraphFont"/>
    <w:uiPriority w:val="99"/>
    <w:semiHidden/>
    <w:rsid w:val="00DF7436"/>
    <w:rPr>
      <w:rFonts w:cs="Times New Roman"/>
      <w:sz w:val="16"/>
      <w:szCs w:val="16"/>
    </w:rPr>
  </w:style>
  <w:style w:type="paragraph" w:styleId="Header">
    <w:name w:val="header"/>
    <w:basedOn w:val="Normal"/>
    <w:link w:val="HeaderChar"/>
    <w:uiPriority w:val="99"/>
    <w:unhideWhenUsed/>
    <w:rsid w:val="002925AD"/>
    <w:pPr>
      <w:tabs>
        <w:tab w:val="center" w:pos="4536"/>
        <w:tab w:val="right" w:pos="9072"/>
      </w:tabs>
      <w:spacing w:after="0" w:line="240" w:lineRule="auto"/>
    </w:pPr>
  </w:style>
  <w:style w:type="character" w:customStyle="1" w:styleId="HeaderChar">
    <w:name w:val="Header Char"/>
    <w:basedOn w:val="DefaultParagraphFont"/>
    <w:link w:val="Header"/>
    <w:uiPriority w:val="99"/>
    <w:rsid w:val="002925AD"/>
    <w:rPr>
      <w:rFonts w:ascii="Calibri" w:eastAsia="Calibri" w:hAnsi="Calibri" w:cs="Times New Roman"/>
    </w:rPr>
  </w:style>
  <w:style w:type="paragraph" w:styleId="Bibliography">
    <w:name w:val="Bibliography"/>
    <w:basedOn w:val="Normal"/>
    <w:next w:val="Normal"/>
    <w:uiPriority w:val="37"/>
    <w:semiHidden/>
    <w:unhideWhenUsed/>
    <w:rsid w:val="008C290E"/>
    <w:pPr>
      <w:spacing w:after="160" w:line="259" w:lineRule="auto"/>
    </w:pPr>
    <w:rPr>
      <w:rFonts w:asciiTheme="minorHAnsi" w:eastAsiaTheme="minorHAnsi" w:hAnsiTheme="minorHAnsi" w:cstheme="minorBidi"/>
      <w:lang w:val="en-GB"/>
    </w:rPr>
  </w:style>
  <w:style w:type="character" w:customStyle="1" w:styleId="FootnoteTextChar">
    <w:name w:val="Footnote Text Char"/>
    <w:aliases w:val="Tekst przypisu Char,Podrozdział Char,Footnote Char,Podrozdzia3 Char,Tekst przypisu Znak Znak Znak Znak Char,Tekst przypisu Znak Znak Znak Znak Znak Char,Tekst przypisu Znak Znak Znak Znak Znak Znak Znak Char"/>
    <w:basedOn w:val="DefaultParagraphFont"/>
    <w:link w:val="FootnoteText"/>
    <w:locked/>
    <w:rsid w:val="008C290E"/>
    <w:rPr>
      <w:sz w:val="20"/>
      <w:szCs w:val="20"/>
    </w:rPr>
  </w:style>
  <w:style w:type="paragraph" w:styleId="FootnoteText">
    <w:name w:val="footnote text"/>
    <w:aliases w:val="Tekst przypisu,Podrozdział,Footnote,Podrozdzia3,Tekst przypisu Znak Znak Znak Znak,Tekst przypisu Znak Znak Znak Znak Znak,Tekst przypisu Znak Znak Znak Znak Znak Znak Znak,Tekst przypisu Znak Znak Znak Znak Znak Znak Znak Znak Zn"/>
    <w:basedOn w:val="Normal"/>
    <w:link w:val="FootnoteTextChar"/>
    <w:unhideWhenUsed/>
    <w:rsid w:val="008C290E"/>
    <w:pPr>
      <w:spacing w:after="0" w:line="240" w:lineRule="auto"/>
    </w:pPr>
    <w:rPr>
      <w:rFonts w:asciiTheme="minorHAnsi" w:eastAsiaTheme="minorHAnsi" w:hAnsiTheme="minorHAnsi" w:cstheme="minorBidi"/>
      <w:sz w:val="20"/>
      <w:szCs w:val="20"/>
    </w:rPr>
  </w:style>
  <w:style w:type="character" w:customStyle="1" w:styleId="TekstprzypisudolnegoZnak1">
    <w:name w:val="Tekst przypisu dolnego Znak1"/>
    <w:basedOn w:val="DefaultParagraphFont"/>
    <w:uiPriority w:val="99"/>
    <w:semiHidden/>
    <w:rsid w:val="008C290E"/>
    <w:rPr>
      <w:rFonts w:ascii="Calibri" w:eastAsia="Calibri" w:hAnsi="Calibri" w:cs="Times New Roman"/>
      <w:sz w:val="20"/>
      <w:szCs w:val="20"/>
    </w:rPr>
  </w:style>
  <w:style w:type="character" w:customStyle="1" w:styleId="apple-converted-space">
    <w:name w:val="apple-converted-space"/>
    <w:basedOn w:val="DefaultParagraphFont"/>
    <w:rsid w:val="0059724C"/>
  </w:style>
  <w:style w:type="character" w:styleId="FollowedHyperlink">
    <w:name w:val="FollowedHyperlink"/>
    <w:basedOn w:val="DefaultParagraphFont"/>
    <w:uiPriority w:val="99"/>
    <w:semiHidden/>
    <w:unhideWhenUsed/>
    <w:rsid w:val="000A0F4D"/>
    <w:rPr>
      <w:color w:val="954F72" w:themeColor="followedHyperlink"/>
      <w:u w:val="single"/>
    </w:rPr>
  </w:style>
  <w:style w:type="character" w:styleId="UnresolvedMention">
    <w:name w:val="Unresolved Mention"/>
    <w:basedOn w:val="DefaultParagraphFont"/>
    <w:uiPriority w:val="99"/>
    <w:semiHidden/>
    <w:unhideWhenUsed/>
    <w:rsid w:val="00141718"/>
    <w:rPr>
      <w:color w:val="605E5C"/>
      <w:shd w:val="clear" w:color="auto" w:fill="E1DFDD"/>
    </w:rPr>
  </w:style>
  <w:style w:type="character" w:styleId="FootnoteReference">
    <w:name w:val="footnote reference"/>
    <w:basedOn w:val="DefaultParagraphFont"/>
    <w:uiPriority w:val="99"/>
    <w:semiHidden/>
    <w:unhideWhenUsed/>
    <w:rsid w:val="00795F05"/>
    <w:rPr>
      <w:vertAlign w:val="superscript"/>
    </w:rPr>
  </w:style>
  <w:style w:type="character" w:customStyle="1" w:styleId="Heading3Char">
    <w:name w:val="Heading 3 Char"/>
    <w:basedOn w:val="DefaultParagraphFont"/>
    <w:link w:val="Heading3"/>
    <w:uiPriority w:val="9"/>
    <w:rsid w:val="00BF4CE0"/>
    <w:rPr>
      <w:rFonts w:ascii="Times New Roman" w:eastAsia="Times New Roman" w:hAnsi="Times New Roman" w:cs="Calibri"/>
      <w:color w:val="000000"/>
      <w:position w:val="-1"/>
      <w:sz w:val="24"/>
      <w:szCs w:val="24"/>
      <w:bdr w:val="nil"/>
      <w:lang w:val="en-US" w:eastAsia="fi-FI"/>
    </w:rPr>
  </w:style>
  <w:style w:type="character" w:customStyle="1" w:styleId="Heading1Char">
    <w:name w:val="Heading 1 Char"/>
    <w:basedOn w:val="DefaultParagraphFont"/>
    <w:link w:val="Heading1"/>
    <w:uiPriority w:val="9"/>
    <w:rsid w:val="00546F78"/>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semiHidden/>
    <w:rsid w:val="00910063"/>
    <w:rPr>
      <w:rFonts w:asciiTheme="majorHAnsi" w:eastAsiaTheme="majorEastAsia" w:hAnsiTheme="majorHAnsi" w:cstheme="majorBidi"/>
      <w:i/>
      <w:iCs/>
      <w:color w:val="2F5496" w:themeColor="accent1" w:themeShade="BF"/>
    </w:rPr>
  </w:style>
  <w:style w:type="character" w:styleId="PlaceholderText">
    <w:name w:val="Placeholder Text"/>
    <w:basedOn w:val="DefaultParagraphFont"/>
    <w:uiPriority w:val="99"/>
    <w:semiHidden/>
    <w:rsid w:val="000D133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077671">
      <w:bodyDiv w:val="1"/>
      <w:marLeft w:val="0"/>
      <w:marRight w:val="0"/>
      <w:marTop w:val="0"/>
      <w:marBottom w:val="0"/>
      <w:divBdr>
        <w:top w:val="none" w:sz="0" w:space="0" w:color="auto"/>
        <w:left w:val="none" w:sz="0" w:space="0" w:color="auto"/>
        <w:bottom w:val="none" w:sz="0" w:space="0" w:color="auto"/>
        <w:right w:val="none" w:sz="0" w:space="0" w:color="auto"/>
      </w:divBdr>
    </w:div>
    <w:div w:id="152915989">
      <w:bodyDiv w:val="1"/>
      <w:marLeft w:val="0"/>
      <w:marRight w:val="0"/>
      <w:marTop w:val="0"/>
      <w:marBottom w:val="0"/>
      <w:divBdr>
        <w:top w:val="none" w:sz="0" w:space="0" w:color="auto"/>
        <w:left w:val="none" w:sz="0" w:space="0" w:color="auto"/>
        <w:bottom w:val="none" w:sz="0" w:space="0" w:color="auto"/>
        <w:right w:val="none" w:sz="0" w:space="0" w:color="auto"/>
      </w:divBdr>
    </w:div>
    <w:div w:id="286816290">
      <w:bodyDiv w:val="1"/>
      <w:marLeft w:val="0"/>
      <w:marRight w:val="0"/>
      <w:marTop w:val="0"/>
      <w:marBottom w:val="0"/>
      <w:divBdr>
        <w:top w:val="none" w:sz="0" w:space="0" w:color="auto"/>
        <w:left w:val="none" w:sz="0" w:space="0" w:color="auto"/>
        <w:bottom w:val="none" w:sz="0" w:space="0" w:color="auto"/>
        <w:right w:val="none" w:sz="0" w:space="0" w:color="auto"/>
      </w:divBdr>
    </w:div>
    <w:div w:id="872156546">
      <w:bodyDiv w:val="1"/>
      <w:marLeft w:val="0"/>
      <w:marRight w:val="0"/>
      <w:marTop w:val="0"/>
      <w:marBottom w:val="0"/>
      <w:divBdr>
        <w:top w:val="none" w:sz="0" w:space="0" w:color="auto"/>
        <w:left w:val="none" w:sz="0" w:space="0" w:color="auto"/>
        <w:bottom w:val="none" w:sz="0" w:space="0" w:color="auto"/>
        <w:right w:val="none" w:sz="0" w:space="0" w:color="auto"/>
      </w:divBdr>
    </w:div>
    <w:div w:id="1585722664">
      <w:bodyDiv w:val="1"/>
      <w:marLeft w:val="0"/>
      <w:marRight w:val="0"/>
      <w:marTop w:val="0"/>
      <w:marBottom w:val="0"/>
      <w:divBdr>
        <w:top w:val="none" w:sz="0" w:space="0" w:color="auto"/>
        <w:left w:val="none" w:sz="0" w:space="0" w:color="auto"/>
        <w:bottom w:val="none" w:sz="0" w:space="0" w:color="auto"/>
        <w:right w:val="none" w:sz="0" w:space="0" w:color="auto"/>
      </w:divBdr>
    </w:div>
  </w:divs>
  <w:encoding w:val="x-mac-cyrillic"/>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oaindonesia.com/a/sepanjang-2021-bnn-ungkap-760-kasus-tindak-pidana-narkoba-/6375450.htm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35A707-BB56-4F09-9898-60E924723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1166</Words>
  <Characters>6647</Characters>
  <Application>Microsoft Office Word</Application>
  <DocSecurity>0</DocSecurity>
  <Lines>55</Lines>
  <Paragraphs>15</Paragraphs>
  <ScaleCrop>false</ScaleCrop>
  <HeadingPairs>
    <vt:vector size="6" baseType="variant">
      <vt:variant>
        <vt:lpstr>Title</vt:lpstr>
      </vt:variant>
      <vt:variant>
        <vt:i4>1</vt:i4>
      </vt:variant>
      <vt:variant>
        <vt:lpstr>Название</vt:lpstr>
      </vt:variant>
      <vt:variant>
        <vt:i4>1</vt:i4>
      </vt:variant>
      <vt:variant>
        <vt:lpstr>Tytuł</vt:lpstr>
      </vt:variant>
      <vt:variant>
        <vt:i4>1</vt:i4>
      </vt:variant>
    </vt:vector>
  </HeadingPairs>
  <TitlesOfParts>
    <vt:vector size="3" baseType="lpstr">
      <vt:lpstr/>
      <vt:lpstr/>
      <vt:lpstr/>
    </vt:vector>
  </TitlesOfParts>
  <Company/>
  <LinksUpToDate>false</LinksUpToDate>
  <CharactersWithSpaces>7798</CharactersWithSpaces>
  <SharedDoc>false</SharedDoc>
  <HLinks>
    <vt:vector size="72" baseType="variant">
      <vt:variant>
        <vt:i4>1179719</vt:i4>
      </vt:variant>
      <vt:variant>
        <vt:i4>33</vt:i4>
      </vt:variant>
      <vt:variant>
        <vt:i4>0</vt:i4>
      </vt:variant>
      <vt:variant>
        <vt:i4>5</vt:i4>
      </vt:variant>
      <vt:variant>
        <vt:lpwstr>https://ec.europa.eu/eurostat/databrowser/view/nama_10_gdp/default/table?lang=en&amp;category=na10.nama10.nama_10_ma</vt:lpwstr>
      </vt:variant>
      <vt:variant>
        <vt:lpwstr/>
      </vt:variant>
      <vt:variant>
        <vt:i4>1835023</vt:i4>
      </vt:variant>
      <vt:variant>
        <vt:i4>30</vt:i4>
      </vt:variant>
      <vt:variant>
        <vt:i4>0</vt:i4>
      </vt:variant>
      <vt:variant>
        <vt:i4>5</vt:i4>
      </vt:variant>
      <vt:variant>
        <vt:lpwstr>http://www.wsb.org/book/10.7864/j.ctt1vjqp2g</vt:lpwstr>
      </vt:variant>
      <vt:variant>
        <vt:lpwstr/>
      </vt:variant>
      <vt:variant>
        <vt:i4>3276912</vt:i4>
      </vt:variant>
      <vt:variant>
        <vt:i4>27</vt:i4>
      </vt:variant>
      <vt:variant>
        <vt:i4>0</vt:i4>
      </vt:variant>
      <vt:variant>
        <vt:i4>5</vt:i4>
      </vt:variant>
      <vt:variant>
        <vt:lpwstr>https://doi.org/10.1234/7506-7088-3.50008-5</vt:lpwstr>
      </vt:variant>
      <vt:variant>
        <vt:lpwstr/>
      </vt:variant>
      <vt:variant>
        <vt:i4>2752620</vt:i4>
      </vt:variant>
      <vt:variant>
        <vt:i4>24</vt:i4>
      </vt:variant>
      <vt:variant>
        <vt:i4>0</vt:i4>
      </vt:variant>
      <vt:variant>
        <vt:i4>5</vt:i4>
      </vt:variant>
      <vt:variant>
        <vt:lpwstr>https://doi.org/10.10.25/tnas.23456</vt:lpwstr>
      </vt:variant>
      <vt:variant>
        <vt:lpwstr/>
      </vt:variant>
      <vt:variant>
        <vt:i4>4980845</vt:i4>
      </vt:variant>
      <vt:variant>
        <vt:i4>21</vt:i4>
      </vt:variant>
      <vt:variant>
        <vt:i4>0</vt:i4>
      </vt:variant>
      <vt:variant>
        <vt:i4>5</vt:i4>
      </vt:variant>
      <vt:variant>
        <vt:lpwstr>https://doi.org/10.23762/FSO_VOL11_NO3_9</vt:lpwstr>
      </vt:variant>
      <vt:variant>
        <vt:lpwstr/>
      </vt:variant>
      <vt:variant>
        <vt:i4>4456557</vt:i4>
      </vt:variant>
      <vt:variant>
        <vt:i4>18</vt:i4>
      </vt:variant>
      <vt:variant>
        <vt:i4>0</vt:i4>
      </vt:variant>
      <vt:variant>
        <vt:i4>5</vt:i4>
      </vt:variant>
      <vt:variant>
        <vt:lpwstr>https://doi.org/10.23762/FSO_VOL11_NO3_10</vt:lpwstr>
      </vt:variant>
      <vt:variant>
        <vt:lpwstr/>
      </vt:variant>
      <vt:variant>
        <vt:i4>4653165</vt:i4>
      </vt:variant>
      <vt:variant>
        <vt:i4>15</vt:i4>
      </vt:variant>
      <vt:variant>
        <vt:i4>0</vt:i4>
      </vt:variant>
      <vt:variant>
        <vt:i4>5</vt:i4>
      </vt:variant>
      <vt:variant>
        <vt:lpwstr>https://doi.org/10.23762/FSO_VOL11_NO4_5</vt:lpwstr>
      </vt:variant>
      <vt:variant>
        <vt:lpwstr/>
      </vt:variant>
      <vt:variant>
        <vt:i4>4587629</vt:i4>
      </vt:variant>
      <vt:variant>
        <vt:i4>12</vt:i4>
      </vt:variant>
      <vt:variant>
        <vt:i4>0</vt:i4>
      </vt:variant>
      <vt:variant>
        <vt:i4>5</vt:i4>
      </vt:variant>
      <vt:variant>
        <vt:lpwstr>https://doi.org/10.23762/FSO_VOL11_NO4_4</vt:lpwstr>
      </vt:variant>
      <vt:variant>
        <vt:lpwstr/>
      </vt:variant>
      <vt:variant>
        <vt:i4>4259949</vt:i4>
      </vt:variant>
      <vt:variant>
        <vt:i4>9</vt:i4>
      </vt:variant>
      <vt:variant>
        <vt:i4>0</vt:i4>
      </vt:variant>
      <vt:variant>
        <vt:i4>5</vt:i4>
      </vt:variant>
      <vt:variant>
        <vt:lpwstr>https://doi.org/10.23762/FSO_VOL11_NO4_3</vt:lpwstr>
      </vt:variant>
      <vt:variant>
        <vt:lpwstr/>
      </vt:variant>
      <vt:variant>
        <vt:i4>4194413</vt:i4>
      </vt:variant>
      <vt:variant>
        <vt:i4>6</vt:i4>
      </vt:variant>
      <vt:variant>
        <vt:i4>0</vt:i4>
      </vt:variant>
      <vt:variant>
        <vt:i4>5</vt:i4>
      </vt:variant>
      <vt:variant>
        <vt:lpwstr>https://doi.org/10.23762/FSO_VOL11_NO4_2</vt:lpwstr>
      </vt:variant>
      <vt:variant>
        <vt:lpwstr/>
      </vt:variant>
      <vt:variant>
        <vt:i4>4391021</vt:i4>
      </vt:variant>
      <vt:variant>
        <vt:i4>3</vt:i4>
      </vt:variant>
      <vt:variant>
        <vt:i4>0</vt:i4>
      </vt:variant>
      <vt:variant>
        <vt:i4>5</vt:i4>
      </vt:variant>
      <vt:variant>
        <vt:lpwstr>https://doi.org/10.23762/FSO_VOL11_NO4_1</vt:lpwstr>
      </vt:variant>
      <vt:variant>
        <vt:lpwstr/>
      </vt:variant>
      <vt:variant>
        <vt:i4>7602277</vt:i4>
      </vt:variant>
      <vt:variant>
        <vt:i4>0</vt:i4>
      </vt:variant>
      <vt:variant>
        <vt:i4>0</vt:i4>
      </vt:variant>
      <vt:variant>
        <vt:i4>5</vt:i4>
      </vt:variant>
      <vt:variant>
        <vt:lpwstr>http://www.translatica.pl/slowniki/po-polsku/academic achievements/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Aleksy Kwilinski</dc:creator>
  <cp:keywords/>
  <dc:description/>
  <cp:lastModifiedBy>acera14.51gm.11192@outlook.com</cp:lastModifiedBy>
  <cp:revision>15</cp:revision>
  <dcterms:created xsi:type="dcterms:W3CDTF">2026-03-14T08:50:00Z</dcterms:created>
  <dcterms:modified xsi:type="dcterms:W3CDTF">2026-04-20T04:39:00Z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2b01b903179e23c67ad71eee68bf73b4a9b2ab3d013853f639d75ba2e04641a5</vt:lpwstr>
  </property>
  <property fmtid="{D5CDD505-2E9C-101B-9397-08002B2CF9AE}" pid="3" name="Mendeley Document_1">
    <vt:lpwstr>True</vt:lpwstr>
  </property>
  <property fmtid="{D5CDD505-2E9C-101B-9397-08002B2CF9AE}" pid="4" name="Mendeley Citation Style_1">
    <vt:lpwstr>http://www.zotero.org/styles/chicago-fullnote-bibliography</vt:lpwstr>
  </property>
  <property fmtid="{D5CDD505-2E9C-101B-9397-08002B2CF9AE}" pid="5" name="Mendeley Unique User Id_1">
    <vt:lpwstr>869f67de-f6dc-326e-b4bc-dc1707fc0dec</vt:lpwstr>
  </property>
  <property fmtid="{D5CDD505-2E9C-101B-9397-08002B2CF9AE}" pid="6" name="Mendeley Recent Style Id 0_1">
    <vt:lpwstr>http://www.zotero.org/styles/apa</vt:lpwstr>
  </property>
  <property fmtid="{D5CDD505-2E9C-101B-9397-08002B2CF9AE}" pid="7" name="Mendeley Recent Style Name 0_1">
    <vt:lpwstr>American Psychological Association 7th edition</vt:lpwstr>
  </property>
  <property fmtid="{D5CDD505-2E9C-101B-9397-08002B2CF9AE}" pid="8" name="Mendeley Recent Style Id 1_1">
    <vt:lpwstr>http://www.zotero.org/styles/begell-house-chicago-author-date</vt:lpwstr>
  </property>
  <property fmtid="{D5CDD505-2E9C-101B-9397-08002B2CF9AE}" pid="9" name="Mendeley Recent Style Name 1_1">
    <vt:lpwstr>Begell House - Chicago Manual of Style</vt:lpwstr>
  </property>
  <property fmtid="{D5CDD505-2E9C-101B-9397-08002B2CF9AE}" pid="10" name="Mendeley Recent Style Id 2_1">
    <vt:lpwstr>http://www.zotero.org/styles/chicago-fullnote-bibliography</vt:lpwstr>
  </property>
  <property fmtid="{D5CDD505-2E9C-101B-9397-08002B2CF9AE}" pid="11" name="Mendeley Recent Style Name 2_1">
    <vt:lpwstr>Chicago Manual of Style 17th edition (full note)</vt:lpwstr>
  </property>
  <property fmtid="{D5CDD505-2E9C-101B-9397-08002B2CF9AE}" pid="12" name="Mendeley Recent Style Id 3_1">
    <vt:lpwstr>http://www.zotero.org/styles/chicago-author-date</vt:lpwstr>
  </property>
  <property fmtid="{D5CDD505-2E9C-101B-9397-08002B2CF9AE}" pid="13" name="Mendeley Recent Style Name 3_1">
    <vt:lpwstr>Chicago Manual of Style 18th edition (author-date)</vt:lpwstr>
  </property>
  <property fmtid="{D5CDD505-2E9C-101B-9397-08002B2CF9AE}" pid="14" name="Mendeley Recent Style Id 4_1">
    <vt:lpwstr>http://www.zotero.org/styles/chicago-in-text-full</vt:lpwstr>
  </property>
  <property fmtid="{D5CDD505-2E9C-101B-9397-08002B2CF9AE}" pid="15" name="Mendeley Recent Style Name 4_1">
    <vt:lpwstr>Chicago Manual of Style 18th edition (in-text full citations)</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12th edition (author-date/Harvard)</vt:lpwstr>
  </property>
  <property fmtid="{D5CDD505-2E9C-101B-9397-08002B2CF9AE}" pid="18" name="Mendeley Recent Style Id 6_1">
    <vt:lpwstr>http://www.zotero.org/styles/modern-language-association</vt:lpwstr>
  </property>
  <property fmtid="{D5CDD505-2E9C-101B-9397-08002B2CF9AE}" pid="19" name="Mendeley Recent Style Name 6_1">
    <vt:lpwstr>MLA Handbook 9th edition (in-text citations)</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http://www.zotero.org/styles/nature</vt:lpwstr>
  </property>
  <property fmtid="{D5CDD505-2E9C-101B-9397-08002B2CF9AE}" pid="23" name="Mendeley Recent Style Name 8_1">
    <vt:lpwstr>Nature</vt:lpwstr>
  </property>
  <property fmtid="{D5CDD505-2E9C-101B-9397-08002B2CF9AE}" pid="24" name="Mendeley Recent Style Id 9_1">
    <vt:lpwstr>http://www.zotero.org/styles/oscola</vt:lpwstr>
  </property>
  <property fmtid="{D5CDD505-2E9C-101B-9397-08002B2CF9AE}" pid="25" name="Mendeley Recent Style Name 9_1">
    <vt:lpwstr>OSCOLA 4th edition</vt:lpwstr>
  </property>
</Properties>
</file>